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E05C" w14:textId="77777777" w:rsidR="00BC5EA3" w:rsidRPr="0016558A" w:rsidRDefault="00BC5EA3" w:rsidP="00BC5EA3">
      <w:pPr>
        <w:tabs>
          <w:tab w:val="left" w:pos="2160"/>
        </w:tabs>
        <w:ind w:right="386" w:firstLine="540"/>
        <w:jc w:val="right"/>
        <w:rPr>
          <w:rFonts w:cs="Arial"/>
          <w:b/>
          <w:bCs/>
        </w:rPr>
      </w:pPr>
      <w:r w:rsidRPr="0016558A">
        <w:rPr>
          <w:noProof/>
        </w:rPr>
        <w:drawing>
          <wp:inline distT="0" distB="0" distL="0" distR="0" wp14:anchorId="43CD69C5" wp14:editId="3A5F726C">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14:paraId="6BCF1145" w14:textId="77777777" w:rsidR="00D624F7" w:rsidRPr="00AF3DC8" w:rsidRDefault="00D624F7" w:rsidP="00D624F7">
      <w:pPr>
        <w:pStyle w:val="Heading2"/>
        <w:ind w:left="0" w:firstLine="0"/>
        <w:rPr>
          <w:sz w:val="24"/>
        </w:rPr>
      </w:pPr>
    </w:p>
    <w:p w14:paraId="01D67AD5" w14:textId="77777777" w:rsidR="00E4501F"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To: </w:t>
      </w:r>
      <w:r w:rsidRPr="00AF3DC8">
        <w:rPr>
          <w:sz w:val="24"/>
        </w:rPr>
        <w:tab/>
        <w:t>Council</w:t>
      </w:r>
      <w:r w:rsidRPr="00AF3DC8">
        <w:rPr>
          <w:sz w:val="24"/>
        </w:rPr>
        <w:tab/>
      </w:r>
    </w:p>
    <w:p w14:paraId="2ABFDCE7" w14:textId="5EE13AC0" w:rsidR="00D43B9F" w:rsidRDefault="005E297C" w:rsidP="00D624F7">
      <w:pPr>
        <w:pStyle w:val="Heading2"/>
        <w:tabs>
          <w:tab w:val="clear" w:pos="1701"/>
          <w:tab w:val="clear" w:pos="5670"/>
          <w:tab w:val="left" w:pos="2268"/>
          <w:tab w:val="left" w:pos="5387"/>
        </w:tabs>
        <w:ind w:left="2268" w:hanging="2268"/>
        <w:rPr>
          <w:sz w:val="24"/>
        </w:rPr>
      </w:pPr>
      <w:r>
        <w:rPr>
          <w:sz w:val="24"/>
        </w:rPr>
        <w:t>Date:</w:t>
      </w:r>
      <w:r>
        <w:rPr>
          <w:sz w:val="24"/>
        </w:rPr>
        <w:tab/>
        <w:t>21</w:t>
      </w:r>
      <w:r w:rsidR="00547B77">
        <w:rPr>
          <w:sz w:val="24"/>
        </w:rPr>
        <w:t xml:space="preserve"> February 202</w:t>
      </w:r>
      <w:r>
        <w:rPr>
          <w:sz w:val="24"/>
        </w:rPr>
        <w:t>4</w:t>
      </w:r>
    </w:p>
    <w:p w14:paraId="68BF19B2" w14:textId="1D8A5081" w:rsidR="00D624F7"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Report of: </w:t>
      </w:r>
      <w:r w:rsidRPr="00AF3DC8">
        <w:rPr>
          <w:sz w:val="24"/>
        </w:rPr>
        <w:tab/>
        <w:t>Head of Financial Services</w:t>
      </w:r>
    </w:p>
    <w:p w14:paraId="0649C04C" w14:textId="273F8B54" w:rsidR="00D624F7"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Title of Report: </w:t>
      </w:r>
      <w:r w:rsidRPr="00AF3DC8">
        <w:rPr>
          <w:sz w:val="24"/>
        </w:rPr>
        <w:tab/>
        <w:t>Chief Finance Officer’s report on the robustness of the Council’s 202</w:t>
      </w:r>
      <w:r w:rsidR="005E297C">
        <w:rPr>
          <w:sz w:val="24"/>
        </w:rPr>
        <w:t>4</w:t>
      </w:r>
      <w:r w:rsidRPr="00AF3DC8">
        <w:rPr>
          <w:sz w:val="24"/>
        </w:rPr>
        <w:t>/2</w:t>
      </w:r>
      <w:r w:rsidR="005E297C">
        <w:rPr>
          <w:sz w:val="24"/>
        </w:rPr>
        <w:t>5</w:t>
      </w:r>
      <w:r w:rsidRPr="00AF3DC8">
        <w:rPr>
          <w:sz w:val="24"/>
        </w:rPr>
        <w:t xml:space="preserve"> budget</w:t>
      </w:r>
    </w:p>
    <w:p w14:paraId="5662D609" w14:textId="77777777" w:rsidR="00E4501F" w:rsidRPr="00E4501F" w:rsidRDefault="00E4501F" w:rsidP="00E4501F">
      <w:pPr>
        <w:rPr>
          <w:lang w:eastAsia="en-US"/>
        </w:rPr>
      </w:pPr>
    </w:p>
    <w:p w14:paraId="28B9FA7A" w14:textId="77777777" w:rsidR="00150DF7" w:rsidRPr="00BC5EA3" w:rsidRDefault="00150DF7" w:rsidP="00F212BD">
      <w:pPr>
        <w:pBdr>
          <w:top w:val="single" w:sz="4" w:space="1" w:color="auto"/>
          <w:left w:val="single" w:sz="4" w:space="4" w:color="auto"/>
          <w:bottom w:val="single" w:sz="4" w:space="1" w:color="auto"/>
          <w:right w:val="single" w:sz="4" w:space="4" w:color="auto"/>
        </w:pBdr>
        <w:ind w:right="226"/>
        <w:jc w:val="center"/>
        <w:rPr>
          <w:rStyle w:val="Firstpagetablebold"/>
        </w:rPr>
      </w:pPr>
      <w:r w:rsidRPr="00BC5EA3">
        <w:rPr>
          <w:rStyle w:val="Firstpagetablebold"/>
        </w:rPr>
        <w:t>Summary and Recommendations</w:t>
      </w:r>
    </w:p>
    <w:p w14:paraId="01CAE0AF" w14:textId="77777777" w:rsidR="00150DF7" w:rsidRPr="00BC5EA3" w:rsidRDefault="00150DF7" w:rsidP="00F212BD">
      <w:pPr>
        <w:pBdr>
          <w:top w:val="single" w:sz="4" w:space="1" w:color="auto"/>
          <w:left w:val="single" w:sz="4" w:space="4" w:color="auto"/>
          <w:bottom w:val="single" w:sz="4" w:space="1" w:color="auto"/>
          <w:right w:val="single" w:sz="4" w:space="4" w:color="auto"/>
        </w:pBdr>
        <w:ind w:right="226"/>
        <w:rPr>
          <w:rStyle w:val="Firstpagetablebold"/>
        </w:rPr>
      </w:pPr>
      <w:r w:rsidRPr="00BC5EA3">
        <w:rPr>
          <w:rStyle w:val="Firstpagetablebold"/>
        </w:rPr>
        <w:t xml:space="preserve">Purpose of report: </w:t>
      </w:r>
    </w:p>
    <w:p w14:paraId="5F1A3C31" w14:textId="77777777" w:rsidR="00150DF7" w:rsidRDefault="00150DF7" w:rsidP="00F212BD">
      <w:pPr>
        <w:pBdr>
          <w:top w:val="single" w:sz="4" w:space="1" w:color="auto"/>
          <w:left w:val="single" w:sz="4" w:space="4" w:color="auto"/>
          <w:bottom w:val="single" w:sz="4" w:space="1" w:color="auto"/>
          <w:right w:val="single" w:sz="4" w:space="4" w:color="auto"/>
        </w:pBdr>
        <w:ind w:right="226"/>
      </w:pPr>
      <w:r>
        <w:t xml:space="preserve">Under Section 25 of the Local Government Act 2003 there is a requirement for the Council’s Chief Financial Officer to report to Council on: </w:t>
      </w:r>
    </w:p>
    <w:p w14:paraId="0C83FA80" w14:textId="77777777" w:rsidR="00150DF7" w:rsidRDefault="00192624" w:rsidP="00192624">
      <w:pPr>
        <w:pBdr>
          <w:top w:val="single" w:sz="4" w:space="1" w:color="auto"/>
          <w:left w:val="single" w:sz="4" w:space="4" w:color="auto"/>
          <w:bottom w:val="single" w:sz="4" w:space="1" w:color="auto"/>
          <w:right w:val="single" w:sz="4" w:space="4" w:color="auto"/>
        </w:pBdr>
        <w:ind w:left="567" w:right="226" w:hanging="567"/>
      </w:pPr>
      <w:r>
        <w:t>a)</w:t>
      </w:r>
      <w:r>
        <w:tab/>
      </w:r>
      <w:r w:rsidR="00150DF7">
        <w:t xml:space="preserve">the robustness of the estimates made for the purposes of the calculations of the budget; and </w:t>
      </w:r>
    </w:p>
    <w:p w14:paraId="3E2DAAAF" w14:textId="77777777" w:rsidR="00150DF7" w:rsidRDefault="00150DF7" w:rsidP="00192624">
      <w:pPr>
        <w:pBdr>
          <w:top w:val="single" w:sz="4" w:space="1" w:color="auto"/>
          <w:left w:val="single" w:sz="4" w:space="4" w:color="auto"/>
          <w:bottom w:val="single" w:sz="4" w:space="1" w:color="auto"/>
          <w:right w:val="single" w:sz="4" w:space="4" w:color="auto"/>
        </w:pBdr>
        <w:ind w:left="567" w:right="226" w:hanging="567"/>
      </w:pPr>
      <w:r>
        <w:t xml:space="preserve">b) </w:t>
      </w:r>
      <w:r w:rsidR="00192624">
        <w:tab/>
      </w:r>
      <w:r>
        <w:t xml:space="preserve">the adequacy of the proposed financial reserves. </w:t>
      </w:r>
    </w:p>
    <w:p w14:paraId="78F9DF87" w14:textId="77777777" w:rsidR="00150DF7" w:rsidRDefault="00150DF7" w:rsidP="00F212BD">
      <w:pPr>
        <w:pBdr>
          <w:top w:val="single" w:sz="4" w:space="1" w:color="auto"/>
          <w:left w:val="single" w:sz="4" w:space="4" w:color="auto"/>
          <w:bottom w:val="single" w:sz="4" w:space="1" w:color="auto"/>
          <w:right w:val="single" w:sz="4" w:space="4" w:color="auto"/>
        </w:pBdr>
        <w:ind w:right="226"/>
      </w:pPr>
    </w:p>
    <w:p w14:paraId="250123B9" w14:textId="77777777" w:rsidR="00150DF7" w:rsidRDefault="00150DF7" w:rsidP="00F212BD">
      <w:pPr>
        <w:pBdr>
          <w:top w:val="single" w:sz="4" w:space="1" w:color="auto"/>
          <w:left w:val="single" w:sz="4" w:space="4" w:color="auto"/>
          <w:bottom w:val="single" w:sz="4" w:space="1" w:color="auto"/>
          <w:right w:val="single" w:sz="4" w:space="4" w:color="auto"/>
        </w:pBdr>
        <w:ind w:right="226"/>
      </w:pPr>
      <w:r>
        <w:t>Council in considering its Budget should have regard to this advice.</w:t>
      </w:r>
    </w:p>
    <w:p w14:paraId="37C4366A" w14:textId="77777777" w:rsidR="00150DF7" w:rsidRDefault="00150DF7" w:rsidP="00F212BD">
      <w:pPr>
        <w:pBdr>
          <w:top w:val="single" w:sz="4" w:space="1" w:color="auto"/>
          <w:left w:val="single" w:sz="4" w:space="4" w:color="auto"/>
          <w:bottom w:val="single" w:sz="4" w:space="1" w:color="auto"/>
          <w:right w:val="single" w:sz="4" w:space="4" w:color="auto"/>
        </w:pBdr>
        <w:ind w:right="226"/>
      </w:pPr>
    </w:p>
    <w:p w14:paraId="7D6861E9" w14:textId="7245C89D" w:rsidR="00150DF7" w:rsidRPr="00676A89" w:rsidRDefault="00150DF7" w:rsidP="00F212BD">
      <w:pPr>
        <w:pBdr>
          <w:top w:val="single" w:sz="4" w:space="1" w:color="auto"/>
          <w:left w:val="single" w:sz="4" w:space="4" w:color="auto"/>
          <w:bottom w:val="single" w:sz="4" w:space="1" w:color="auto"/>
          <w:right w:val="single" w:sz="4" w:space="4" w:color="auto"/>
        </w:pBdr>
        <w:ind w:right="226"/>
        <w:rPr>
          <w:rStyle w:val="Firstpagetablebold"/>
          <w:b w:val="0"/>
        </w:rPr>
      </w:pPr>
      <w:r w:rsidRPr="00BC5EA3">
        <w:rPr>
          <w:rStyle w:val="Firstpagetablebold"/>
        </w:rPr>
        <w:t xml:space="preserve">Recommendation: </w:t>
      </w:r>
      <w:r w:rsidRPr="00676A89">
        <w:rPr>
          <w:rStyle w:val="Firstpagetablebold"/>
          <w:b w:val="0"/>
        </w:rPr>
        <w:t>That Council notes this report in setting its budget for 202</w:t>
      </w:r>
      <w:r w:rsidR="005E297C">
        <w:rPr>
          <w:rStyle w:val="Firstpagetablebold"/>
          <w:b w:val="0"/>
        </w:rPr>
        <w:t>4</w:t>
      </w:r>
      <w:r w:rsidRPr="00676A89">
        <w:rPr>
          <w:rStyle w:val="Firstpagetablebold"/>
          <w:b w:val="0"/>
        </w:rPr>
        <w:t>/2</w:t>
      </w:r>
      <w:r w:rsidR="005E297C">
        <w:rPr>
          <w:rStyle w:val="Firstpagetablebold"/>
          <w:b w:val="0"/>
        </w:rPr>
        <w:t>5</w:t>
      </w:r>
      <w:r w:rsidRPr="00676A89">
        <w:rPr>
          <w:rStyle w:val="Firstpagetablebold"/>
          <w:b w:val="0"/>
        </w:rPr>
        <w:t xml:space="preserve"> and the indicative budgets for 202</w:t>
      </w:r>
      <w:r w:rsidR="005E297C">
        <w:rPr>
          <w:rStyle w:val="Firstpagetablebold"/>
          <w:b w:val="0"/>
        </w:rPr>
        <w:t>5</w:t>
      </w:r>
      <w:r w:rsidRPr="00676A89">
        <w:rPr>
          <w:rStyle w:val="Firstpagetablebold"/>
          <w:b w:val="0"/>
        </w:rPr>
        <w:t>/2</w:t>
      </w:r>
      <w:r w:rsidR="005E297C">
        <w:rPr>
          <w:rStyle w:val="Firstpagetablebold"/>
          <w:b w:val="0"/>
        </w:rPr>
        <w:t>6</w:t>
      </w:r>
      <w:r w:rsidRPr="00676A89">
        <w:rPr>
          <w:rStyle w:val="Firstpagetablebold"/>
          <w:b w:val="0"/>
        </w:rPr>
        <w:t xml:space="preserve"> – 202</w:t>
      </w:r>
      <w:r w:rsidR="005E297C">
        <w:rPr>
          <w:rStyle w:val="Firstpagetablebold"/>
          <w:b w:val="0"/>
        </w:rPr>
        <w:t>7</w:t>
      </w:r>
      <w:r w:rsidRPr="00676A89">
        <w:rPr>
          <w:rStyle w:val="Firstpagetablebold"/>
          <w:b w:val="0"/>
        </w:rPr>
        <w:t>/2</w:t>
      </w:r>
      <w:r w:rsidR="005E297C">
        <w:rPr>
          <w:rStyle w:val="Firstpagetablebold"/>
          <w:b w:val="0"/>
        </w:rPr>
        <w:t>8</w:t>
      </w:r>
      <w:r w:rsidRPr="00676A89">
        <w:rPr>
          <w:rStyle w:val="Firstpagetablebold"/>
          <w:b w:val="0"/>
        </w:rPr>
        <w:t>.</w:t>
      </w:r>
    </w:p>
    <w:p w14:paraId="28812CF2" w14:textId="77777777" w:rsidR="00F212BD" w:rsidRPr="00F212BD" w:rsidRDefault="00F212BD" w:rsidP="00F212BD">
      <w:pPr>
        <w:pBdr>
          <w:top w:val="single" w:sz="4" w:space="1" w:color="auto"/>
          <w:left w:val="single" w:sz="4" w:space="4" w:color="auto"/>
          <w:bottom w:val="single" w:sz="4" w:space="1" w:color="auto"/>
          <w:right w:val="single" w:sz="4" w:space="4" w:color="auto"/>
        </w:pBdr>
        <w:ind w:right="226"/>
        <w:rPr>
          <w:b/>
        </w:rPr>
      </w:pPr>
    </w:p>
    <w:p w14:paraId="7EA5F8C8" w14:textId="77701BEF" w:rsidR="00150DF7" w:rsidRDefault="00F64BE6"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r>
        <w:rPr>
          <w:rStyle w:val="Firstpagetablebold"/>
        </w:rPr>
        <w:t xml:space="preserve">Appendix </w:t>
      </w:r>
      <w:r w:rsidR="00F46186">
        <w:rPr>
          <w:rStyle w:val="Firstpagetablebold"/>
        </w:rPr>
        <w:t>1</w:t>
      </w:r>
      <w:r w:rsidR="00150DF7" w:rsidRPr="00BC5EA3">
        <w:rPr>
          <w:rStyle w:val="Firstpagetablebold"/>
        </w:rPr>
        <w:t>: Statement of Reserves and Balances</w:t>
      </w:r>
    </w:p>
    <w:p w14:paraId="40460BB0" w14:textId="77777777" w:rsidR="00F212BD" w:rsidRDefault="00F212BD"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p>
    <w:p w14:paraId="5A3B42AA" w14:textId="77777777" w:rsidR="00CB7331" w:rsidRDefault="00CB7331" w:rsidP="00CB7331">
      <w:pPr>
        <w:pStyle w:val="bParagraphtext"/>
      </w:pPr>
    </w:p>
    <w:p w14:paraId="2E796AE5" w14:textId="77777777" w:rsidR="00FF4EED" w:rsidRPr="006E2E5C" w:rsidRDefault="00FF4EED" w:rsidP="006E2E5C">
      <w:pPr>
        <w:pStyle w:val="bParagraphtext"/>
        <w:rPr>
          <w:b/>
        </w:rPr>
      </w:pPr>
      <w:r w:rsidRPr="006E2E5C">
        <w:rPr>
          <w:b/>
        </w:rPr>
        <w:t>Introduction</w:t>
      </w:r>
    </w:p>
    <w:p w14:paraId="1C60FC45" w14:textId="5CF78E5F" w:rsidR="00F33D54" w:rsidRDefault="007A5EAF" w:rsidP="006E2E5C">
      <w:pPr>
        <w:pStyle w:val="bParagraphtext"/>
        <w:numPr>
          <w:ilvl w:val="0"/>
          <w:numId w:val="11"/>
        </w:numPr>
      </w:pPr>
      <w:r w:rsidRPr="006E2E5C">
        <w:t xml:space="preserve">The financial backdrop of Local authorities is not a good one. There </w:t>
      </w:r>
      <w:proofErr w:type="gramStart"/>
      <w:r w:rsidRPr="006E2E5C">
        <w:t>have</w:t>
      </w:r>
      <w:proofErr w:type="gramEnd"/>
      <w:r w:rsidRPr="006E2E5C">
        <w:t xml:space="preserve"> been a significant increase this year in the number of local authorities issuing Section 114 notices, effectively declaring bankruptcy and many more threatening to take similar action. It is reported there is a £2 billion funding gap in 2024-25 and </w:t>
      </w:r>
      <w:r w:rsidR="00F33D54" w:rsidRPr="006E2E5C">
        <w:t>t</w:t>
      </w:r>
      <w:r w:rsidRPr="006E2E5C">
        <w:t xml:space="preserve">he provisional financial settlement provides only limited additional financial support. Many </w:t>
      </w:r>
      <w:proofErr w:type="gramStart"/>
      <w:r w:rsidRPr="006E2E5C">
        <w:t>tier</w:t>
      </w:r>
      <w:proofErr w:type="gramEnd"/>
      <w:r w:rsidRPr="006E2E5C">
        <w:t xml:space="preserve"> 1 authorities are straining under the weight of increasing demand especially adult social care and tier 2 authorities like Oxford have similar problems especially around temporary costs which are already for this year spending £1million over budget and rising. </w:t>
      </w:r>
    </w:p>
    <w:p w14:paraId="66E605BD" w14:textId="2BF2F62D" w:rsidR="00DF374F" w:rsidRPr="006E2E5C" w:rsidRDefault="00DF374F" w:rsidP="006E2E5C">
      <w:pPr>
        <w:pStyle w:val="bParagraphtext"/>
        <w:numPr>
          <w:ilvl w:val="0"/>
          <w:numId w:val="11"/>
        </w:numPr>
      </w:pPr>
      <w:r>
        <w:lastRenderedPageBreak/>
        <w:t xml:space="preserve">The Council has yet to </w:t>
      </w:r>
      <w:proofErr w:type="gramStart"/>
      <w:r>
        <w:t>obtained</w:t>
      </w:r>
      <w:proofErr w:type="gramEnd"/>
      <w:r>
        <w:t xml:space="preserve"> an audited set of accounts for 2021-22 and 2022-23 and therefore to certain extent estimates have had to be made of the </w:t>
      </w:r>
      <w:proofErr w:type="spellStart"/>
      <w:r>
        <w:t>outurn</w:t>
      </w:r>
      <w:proofErr w:type="spellEnd"/>
      <w:r>
        <w:t xml:space="preserve"> position of the council and therefore the position of reserves and balances.   </w:t>
      </w:r>
    </w:p>
    <w:p w14:paraId="201DAD07" w14:textId="7D7E072B" w:rsidR="007A5EAF" w:rsidRDefault="007A5EAF" w:rsidP="004F7E55">
      <w:pPr>
        <w:pStyle w:val="bParagraphtext"/>
        <w:numPr>
          <w:ilvl w:val="0"/>
          <w:numId w:val="11"/>
        </w:numPr>
      </w:pPr>
      <w:r>
        <w:t xml:space="preserve">The </w:t>
      </w:r>
      <w:proofErr w:type="spellStart"/>
      <w:r>
        <w:t>Councils</w:t>
      </w:r>
      <w:proofErr w:type="spellEnd"/>
      <w:r>
        <w:t xml:space="preserve"> Budget and </w:t>
      </w:r>
      <w:proofErr w:type="gramStart"/>
      <w:r>
        <w:t>Medium Term</w:t>
      </w:r>
      <w:proofErr w:type="gramEnd"/>
      <w:r>
        <w:t xml:space="preserve"> Financial Plan is balanced over the next 5 year period</w:t>
      </w:r>
      <w:r w:rsidR="00DF374F">
        <w:t xml:space="preserve"> although</w:t>
      </w:r>
      <w:r>
        <w:t xml:space="preserve"> </w:t>
      </w:r>
      <w:r w:rsidR="00DF374F">
        <w:t>t</w:t>
      </w:r>
      <w:r>
        <w:t xml:space="preserve">he budget </w:t>
      </w:r>
      <w:r w:rsidR="006E2E5C">
        <w:t xml:space="preserve">proposes reductions in core services such as street cleaning, waste and recycling and also Community Services such as leisure and voluntary sector grants and in addition around £7million is proposed to be taken from reserves. </w:t>
      </w:r>
    </w:p>
    <w:p w14:paraId="310F2A41" w14:textId="0A09CC0F" w:rsidR="00FF4EED" w:rsidRPr="00426B08" w:rsidRDefault="006E2E5C" w:rsidP="000643EF">
      <w:pPr>
        <w:pStyle w:val="bParagraphtext"/>
        <w:numPr>
          <w:ilvl w:val="0"/>
          <w:numId w:val="11"/>
        </w:numPr>
      </w:pPr>
      <w:r>
        <w:t xml:space="preserve">If ever there was a time to ensure the robustness of budgets and adequate reserves are maintained, now is the time.  </w:t>
      </w:r>
      <w:r w:rsidR="00FF4EED" w:rsidRPr="00426B08">
        <w:t>This report to Council is a statutory requirement of the Councils Chief Financial Officer under Section 25 of the Local Government Act 2003, to report to Council on:</w:t>
      </w:r>
    </w:p>
    <w:p w14:paraId="2DD4C6E0" w14:textId="77777777" w:rsidR="00FF4EED" w:rsidRPr="00426B08" w:rsidRDefault="00FF4EED" w:rsidP="004F7E55">
      <w:pPr>
        <w:pStyle w:val="bParagraphtext"/>
        <w:numPr>
          <w:ilvl w:val="0"/>
          <w:numId w:val="8"/>
        </w:numPr>
      </w:pPr>
      <w:r w:rsidRPr="00426B08">
        <w:t xml:space="preserve">The robustness of estimates made for the calculation of the </w:t>
      </w:r>
      <w:proofErr w:type="gramStart"/>
      <w:r w:rsidRPr="00426B08">
        <w:t>budget</w:t>
      </w:r>
      <w:proofErr w:type="gramEnd"/>
    </w:p>
    <w:p w14:paraId="56DE3FE3" w14:textId="77777777" w:rsidR="00FF4EED" w:rsidRPr="00426B08" w:rsidRDefault="00FF4EED" w:rsidP="004F7E55">
      <w:pPr>
        <w:pStyle w:val="bParagraphtext"/>
        <w:numPr>
          <w:ilvl w:val="0"/>
          <w:numId w:val="8"/>
        </w:numPr>
      </w:pPr>
      <w:r w:rsidRPr="00426B08">
        <w:t>The adequacy of reserves</w:t>
      </w:r>
    </w:p>
    <w:p w14:paraId="2745D05E" w14:textId="57E7224C" w:rsidR="00FF4EED" w:rsidRPr="00426B08" w:rsidRDefault="00097FC9" w:rsidP="00097FC9">
      <w:pPr>
        <w:pStyle w:val="bParagraphtext"/>
        <w:ind w:left="360" w:hanging="360"/>
      </w:pPr>
      <w:r>
        <w:t>4</w:t>
      </w:r>
      <w:r>
        <w:tab/>
      </w:r>
      <w:r w:rsidR="00FF4EED" w:rsidRPr="00426B08">
        <w:t>Council are required to consider this report alongside the budget setting discussions</w:t>
      </w:r>
      <w:r w:rsidR="0027316D" w:rsidRPr="00426B08">
        <w:t>.</w:t>
      </w:r>
    </w:p>
    <w:p w14:paraId="7FCB0D23" w14:textId="77777777" w:rsidR="00BC5EA3" w:rsidRPr="00426B08" w:rsidRDefault="00150DF7" w:rsidP="00BC5EA3">
      <w:pPr>
        <w:pStyle w:val="Heading1"/>
      </w:pPr>
      <w:r w:rsidRPr="00426B08">
        <w:t xml:space="preserve">Preparation of the </w:t>
      </w:r>
      <w:proofErr w:type="gramStart"/>
      <w:r w:rsidRPr="00426B08">
        <w:t>Medium Term</w:t>
      </w:r>
      <w:proofErr w:type="gramEnd"/>
      <w:r w:rsidRPr="00426B08">
        <w:t xml:space="preserve"> Financial Plan</w:t>
      </w:r>
    </w:p>
    <w:p w14:paraId="16169AA0" w14:textId="61623B81" w:rsidR="00E4501F" w:rsidRPr="00426B08" w:rsidRDefault="005A3124" w:rsidP="00097FC9">
      <w:pPr>
        <w:pStyle w:val="bParagraphtext"/>
        <w:numPr>
          <w:ilvl w:val="0"/>
          <w:numId w:val="14"/>
        </w:numPr>
      </w:pPr>
      <w:r w:rsidRPr="00426B08">
        <w:t xml:space="preserve">As in previous years the Council has undertaken a prudent and robust approach in developing its </w:t>
      </w:r>
      <w:proofErr w:type="gramStart"/>
      <w:r w:rsidRPr="00426B08">
        <w:t>Medium Te</w:t>
      </w:r>
      <w:r w:rsidR="00ED6AD1" w:rsidRPr="00426B08">
        <w:t>rm</w:t>
      </w:r>
      <w:proofErr w:type="gramEnd"/>
      <w:r w:rsidR="00ED6AD1" w:rsidRPr="00426B08">
        <w:t xml:space="preserve"> Financial Strategy (“MTFS”) based on information that </w:t>
      </w:r>
      <w:r w:rsidR="00426B08" w:rsidRPr="00426B08">
        <w:t xml:space="preserve">is </w:t>
      </w:r>
      <w:r w:rsidR="00ED6AD1" w:rsidRPr="00426B08">
        <w:t>available to date</w:t>
      </w:r>
      <w:r w:rsidR="00426B08" w:rsidRPr="00426B08">
        <w:t xml:space="preserve"> and prudent forecasts of the income and expenditure that will be arise whilst undertaking it’s services</w:t>
      </w:r>
      <w:r w:rsidR="00ED6AD1" w:rsidRPr="00426B08">
        <w:t xml:space="preserve">. </w:t>
      </w:r>
    </w:p>
    <w:p w14:paraId="7C369A47" w14:textId="77777777" w:rsidR="00ED6AD1" w:rsidRPr="00426B08" w:rsidRDefault="00ED6AD1" w:rsidP="00ED6AD1">
      <w:pPr>
        <w:pStyle w:val="bParagraphtext"/>
        <w:rPr>
          <w:b/>
        </w:rPr>
      </w:pPr>
      <w:r w:rsidRPr="00426B08">
        <w:rPr>
          <w:b/>
        </w:rPr>
        <w:t>Robustness of Estimates</w:t>
      </w:r>
    </w:p>
    <w:p w14:paraId="283882FA" w14:textId="1F0C1C00" w:rsidR="005A3124" w:rsidRPr="00426B08" w:rsidRDefault="005A3124" w:rsidP="00097FC9">
      <w:pPr>
        <w:pStyle w:val="bParagraphtext"/>
        <w:numPr>
          <w:ilvl w:val="3"/>
          <w:numId w:val="3"/>
        </w:numPr>
        <w:ind w:hanging="502"/>
      </w:pPr>
      <w:r w:rsidRPr="00426B08">
        <w:t>All aspects of the Council’s budget, efficiency savings, additional income streams, and pressures have been subject to rigorous review, with Service Heads being required to review the plans they put forward in previous years and confirm delivery of the proposals</w:t>
      </w:r>
      <w:r w:rsidR="00695557" w:rsidRPr="00426B08">
        <w:t xml:space="preserve"> over the life of the MTFS</w:t>
      </w:r>
      <w:r w:rsidRPr="00426B08">
        <w:t xml:space="preserve">.  </w:t>
      </w:r>
    </w:p>
    <w:p w14:paraId="1B057A2D" w14:textId="77777777" w:rsidR="005A3124" w:rsidRPr="00426B08" w:rsidRDefault="005A3124" w:rsidP="004F7E55">
      <w:pPr>
        <w:pStyle w:val="ListParagraph"/>
        <w:numPr>
          <w:ilvl w:val="3"/>
          <w:numId w:val="3"/>
        </w:numPr>
        <w:ind w:hanging="3240"/>
      </w:pPr>
      <w:r w:rsidRPr="00426B08">
        <w:t xml:space="preserve">Scrutiny of the budget has been undertaken by </w:t>
      </w:r>
    </w:p>
    <w:p w14:paraId="3C2CE385" w14:textId="77777777" w:rsidR="005A3124" w:rsidRPr="00426B08" w:rsidRDefault="005A3124" w:rsidP="005A3124">
      <w:pPr>
        <w:pStyle w:val="Bulletpoints"/>
      </w:pPr>
      <w:r w:rsidRPr="00426B08">
        <w:t xml:space="preserve">The Finance Team </w:t>
      </w:r>
    </w:p>
    <w:p w14:paraId="2121309F" w14:textId="77777777" w:rsidR="005A3124" w:rsidRPr="00426B08" w:rsidRDefault="005A3124" w:rsidP="005A3124">
      <w:pPr>
        <w:pStyle w:val="Bulletpoints"/>
      </w:pPr>
      <w:r w:rsidRPr="00426B08">
        <w:t xml:space="preserve">Directors and the Chief Executive </w:t>
      </w:r>
    </w:p>
    <w:p w14:paraId="11530C4C" w14:textId="77777777" w:rsidR="005A3124" w:rsidRPr="00426B08" w:rsidRDefault="005A3124" w:rsidP="005A3124">
      <w:pPr>
        <w:pStyle w:val="Bulletpoints"/>
      </w:pPr>
      <w:r w:rsidRPr="00426B08">
        <w:t xml:space="preserve">Executive Members </w:t>
      </w:r>
    </w:p>
    <w:p w14:paraId="3A0B6C7E" w14:textId="77777777" w:rsidR="005A3124" w:rsidRPr="00426B08" w:rsidRDefault="005A3124" w:rsidP="005A3124">
      <w:pPr>
        <w:pStyle w:val="Bulletpoints"/>
      </w:pPr>
      <w:r w:rsidRPr="00426B08">
        <w:t xml:space="preserve">The Scrutiny Committee’s Finance Panel </w:t>
      </w:r>
    </w:p>
    <w:p w14:paraId="634DF00B" w14:textId="77777777" w:rsidR="005A3124" w:rsidRPr="00426B08" w:rsidRDefault="005A3124" w:rsidP="004F7E55">
      <w:pPr>
        <w:pStyle w:val="bParagraphtext"/>
        <w:numPr>
          <w:ilvl w:val="0"/>
          <w:numId w:val="10"/>
        </w:numPr>
        <w:ind w:left="426" w:hanging="426"/>
      </w:pPr>
      <w:r w:rsidRPr="00426B08">
        <w:t xml:space="preserve">Monitoring of the budget through the year is undertaken by Financial Services in conjunction with Heads of Service and Cost Centre Managers to ensure that the budget is on target or variations are reported and acted upon at an early stage. Monthly monitoring reports are considered by Heads of Service at the Council’s Operational Delivery Group and Corporate Management Team </w:t>
      </w:r>
      <w:r w:rsidR="0027316D" w:rsidRPr="00426B08">
        <w:t xml:space="preserve">with quarterly updates presented to </w:t>
      </w:r>
      <w:r w:rsidRPr="00426B08">
        <w:t xml:space="preserve">Cabinet. </w:t>
      </w:r>
    </w:p>
    <w:p w14:paraId="3FFEC0C5" w14:textId="77777777" w:rsidR="00150DF7" w:rsidRPr="00426B08" w:rsidRDefault="005A3124" w:rsidP="004F7E55">
      <w:pPr>
        <w:pStyle w:val="bParagraphtext"/>
        <w:numPr>
          <w:ilvl w:val="0"/>
          <w:numId w:val="10"/>
        </w:numPr>
        <w:ind w:left="426" w:hanging="426"/>
      </w:pPr>
      <w:r w:rsidRPr="00426B08">
        <w:t>The Council has established a Project Management Office to oversee and undertake project management of projects within the Council’s Capital Programme. Potential projects are subject to more rigour and resources are spent on establishing the feasibility and outline business case before a bid is made through Cabinet and Council for budget approval of funds to carry out the project.</w:t>
      </w:r>
    </w:p>
    <w:p w14:paraId="2B361930" w14:textId="77777777" w:rsidR="0014456E" w:rsidRPr="00F33D54" w:rsidRDefault="0014456E" w:rsidP="0014456E">
      <w:pPr>
        <w:pStyle w:val="bParagraphtext"/>
        <w:ind w:left="426"/>
        <w:rPr>
          <w:highlight w:val="yellow"/>
        </w:rPr>
      </w:pPr>
    </w:p>
    <w:p w14:paraId="55711530" w14:textId="77777777" w:rsidR="00150DF7" w:rsidRPr="00634D39" w:rsidRDefault="00150DF7" w:rsidP="00BC5EA3">
      <w:pPr>
        <w:pStyle w:val="Heading1"/>
      </w:pPr>
      <w:r w:rsidRPr="00634D39">
        <w:t xml:space="preserve">General Fund Assumptions </w:t>
      </w:r>
    </w:p>
    <w:p w14:paraId="6E46A89A" w14:textId="77777777" w:rsidR="005A3124" w:rsidRPr="00634D39" w:rsidRDefault="005A3124" w:rsidP="004F7E55">
      <w:pPr>
        <w:pStyle w:val="bParagraphtext"/>
        <w:numPr>
          <w:ilvl w:val="0"/>
          <w:numId w:val="10"/>
        </w:numPr>
        <w:ind w:left="426" w:hanging="426"/>
      </w:pPr>
      <w:r w:rsidRPr="00634D39">
        <w:t xml:space="preserve">Assumptions on which the </w:t>
      </w:r>
      <w:proofErr w:type="gramStart"/>
      <w:r w:rsidRPr="00634D39">
        <w:t>four year</w:t>
      </w:r>
      <w:proofErr w:type="gramEnd"/>
      <w:r w:rsidRPr="00634D39">
        <w:t xml:space="preserve"> MTFS are based are contained within the main budget report presented elsewhere on the agenda, howeve</w:t>
      </w:r>
      <w:r w:rsidR="00CB7331" w:rsidRPr="00634D39">
        <w:t>r, the key assumptions include:</w:t>
      </w:r>
    </w:p>
    <w:p w14:paraId="27BF17CE" w14:textId="22EC89A0" w:rsidR="005A3124" w:rsidRPr="00634D39" w:rsidRDefault="005A3124" w:rsidP="00E4501F">
      <w:pPr>
        <w:pStyle w:val="Bulletpoints"/>
        <w:tabs>
          <w:tab w:val="clear" w:pos="1134"/>
        </w:tabs>
        <w:ind w:left="1080" w:hanging="654"/>
      </w:pPr>
      <w:r w:rsidRPr="00634D39">
        <w:rPr>
          <w:b/>
        </w:rPr>
        <w:t>Council Tax increase</w:t>
      </w:r>
      <w:r w:rsidR="00F46186">
        <w:rPr>
          <w:b/>
        </w:rPr>
        <w:t xml:space="preserve"> </w:t>
      </w:r>
      <w:r w:rsidRPr="00634D39">
        <w:t xml:space="preserve">- The Council Tax increase is </w:t>
      </w:r>
      <w:r w:rsidR="003F31C6" w:rsidRPr="00634D39">
        <w:t>2</w:t>
      </w:r>
      <w:r w:rsidRPr="00634D39">
        <w:t>.99% for 202</w:t>
      </w:r>
      <w:r w:rsidR="005E297C">
        <w:t>4</w:t>
      </w:r>
      <w:r w:rsidRPr="00634D39">
        <w:t>-2</w:t>
      </w:r>
      <w:r w:rsidR="005E297C">
        <w:t>5, in line with the referendum limit set by the Government for both 2023-24 and 2024-25. It is assumed that this increased at the previous referendum limit of 1</w:t>
      </w:r>
      <w:r w:rsidRPr="00634D39">
        <w:t xml:space="preserve">.99% thereafter.  </w:t>
      </w:r>
    </w:p>
    <w:p w14:paraId="6900F70D" w14:textId="4F8AECF9" w:rsidR="00ED6AD1" w:rsidRPr="00634D39" w:rsidRDefault="00ED6AD1" w:rsidP="007B754D">
      <w:pPr>
        <w:pStyle w:val="Bulletpoints"/>
        <w:tabs>
          <w:tab w:val="clear" w:pos="1134"/>
        </w:tabs>
        <w:ind w:left="1080" w:hanging="654"/>
      </w:pPr>
      <w:r w:rsidRPr="00634D39">
        <w:rPr>
          <w:b/>
        </w:rPr>
        <w:t xml:space="preserve">Income Streams </w:t>
      </w:r>
      <w:r w:rsidRPr="00634D39">
        <w:t xml:space="preserve">– income streams especially those </w:t>
      </w:r>
      <w:r w:rsidR="0027316D" w:rsidRPr="00634D39">
        <w:t>susceptible</w:t>
      </w:r>
      <w:r w:rsidRPr="00634D39">
        <w:t xml:space="preserve"> to </w:t>
      </w:r>
      <w:r w:rsidR="005E297C">
        <w:t xml:space="preserve">supply and demand </w:t>
      </w:r>
      <w:r w:rsidRPr="00634D39">
        <w:t xml:space="preserve">have been budgeted prudently. </w:t>
      </w:r>
      <w:r w:rsidR="003F31C6" w:rsidRPr="00634D39">
        <w:t xml:space="preserve">Car parking income </w:t>
      </w:r>
      <w:r w:rsidR="000F78A9">
        <w:t xml:space="preserve">for instance have not returned to </w:t>
      </w:r>
      <w:r w:rsidR="000A4BC5" w:rsidRPr="00634D39">
        <w:t>pre Covid levels</w:t>
      </w:r>
      <w:r w:rsidR="003F31C6" w:rsidRPr="00634D39">
        <w:t>. Town Hall income from lettings is forecast to return to normal levels</w:t>
      </w:r>
      <w:r w:rsidR="000F78A9">
        <w:t xml:space="preserve"> from 2024-25</w:t>
      </w:r>
      <w:r w:rsidR="003F31C6" w:rsidRPr="00634D39">
        <w:t xml:space="preserve">. Commercial rent income </w:t>
      </w:r>
      <w:r w:rsidR="000F78A9">
        <w:t xml:space="preserve">ae now back to </w:t>
      </w:r>
      <w:proofErr w:type="spellStart"/>
      <w:r w:rsidR="000F78A9">
        <w:t>pre Covid</w:t>
      </w:r>
      <w:proofErr w:type="spellEnd"/>
      <w:r w:rsidR="000F78A9">
        <w:t xml:space="preserve"> levels although this has been partly due increased investment and regeneration schemes such as George Street and Odeon</w:t>
      </w:r>
      <w:r w:rsidR="003F31C6" w:rsidRPr="00634D39">
        <w:t xml:space="preserve"> </w:t>
      </w:r>
      <w:r w:rsidRPr="00634D39">
        <w:t xml:space="preserve"> </w:t>
      </w:r>
    </w:p>
    <w:p w14:paraId="651296EC" w14:textId="794AC325" w:rsidR="005A3124" w:rsidRPr="007D5F3C" w:rsidRDefault="005A3124" w:rsidP="007B754D">
      <w:pPr>
        <w:pStyle w:val="Bulletpoints"/>
        <w:tabs>
          <w:tab w:val="clear" w:pos="1134"/>
        </w:tabs>
        <w:ind w:left="1080" w:hanging="654"/>
      </w:pPr>
      <w:r w:rsidRPr="00634D39">
        <w:rPr>
          <w:b/>
        </w:rPr>
        <w:t>Investment Interest</w:t>
      </w:r>
      <w:r w:rsidRPr="00634D39">
        <w:t xml:space="preserve"> – </w:t>
      </w:r>
      <w:r w:rsidR="007B754D" w:rsidRPr="001A3433">
        <w:t xml:space="preserve">On the </w:t>
      </w:r>
      <w:proofErr w:type="gramStart"/>
      <w:r w:rsidR="007B754D" w:rsidRPr="001A3433">
        <w:t>13</w:t>
      </w:r>
      <w:r w:rsidR="007B754D" w:rsidRPr="001A3433">
        <w:rPr>
          <w:vertAlign w:val="superscript"/>
        </w:rPr>
        <w:t>th</w:t>
      </w:r>
      <w:proofErr w:type="gramEnd"/>
      <w:r w:rsidR="007B754D" w:rsidRPr="001A3433">
        <w:t xml:space="preserve"> December 2023 the Bank of England maintained base rates at 5.25%. Latest forecasts predict base rates to remain at this level until quarter 3 </w:t>
      </w:r>
      <w:r w:rsidR="007B754D">
        <w:t xml:space="preserve">of </w:t>
      </w:r>
      <w:r w:rsidR="007B754D" w:rsidRPr="001A3433">
        <w:t xml:space="preserve">2024 before falling back slowly to 4.25% by 2026. </w:t>
      </w:r>
    </w:p>
    <w:p w14:paraId="22491886" w14:textId="23CF020A" w:rsidR="005A3124" w:rsidRPr="00AE32C4" w:rsidRDefault="005A3124" w:rsidP="007B754D">
      <w:pPr>
        <w:pStyle w:val="Bulletpoints"/>
        <w:tabs>
          <w:tab w:val="clear" w:pos="1134"/>
        </w:tabs>
        <w:ind w:left="1080" w:hanging="654"/>
      </w:pPr>
      <w:proofErr w:type="spellStart"/>
      <w:r w:rsidRPr="007D5F3C">
        <w:rPr>
          <w:b/>
        </w:rPr>
        <w:t>OxWed</w:t>
      </w:r>
      <w:proofErr w:type="spellEnd"/>
      <w:r w:rsidRPr="007D5F3C">
        <w:rPr>
          <w:b/>
        </w:rPr>
        <w:t xml:space="preserve"> Development</w:t>
      </w:r>
      <w:r w:rsidRPr="007D5F3C">
        <w:t xml:space="preserve"> – </w:t>
      </w:r>
      <w:r w:rsidR="00097FC9" w:rsidRPr="007D5F3C">
        <w:t xml:space="preserve">Income yield from the </w:t>
      </w:r>
      <w:proofErr w:type="gramStart"/>
      <w:r w:rsidR="00097FC9" w:rsidRPr="007D5F3C">
        <w:t>councils</w:t>
      </w:r>
      <w:proofErr w:type="gramEnd"/>
      <w:r w:rsidR="00097FC9" w:rsidRPr="007D5F3C">
        <w:t xml:space="preserve"> partnership in </w:t>
      </w:r>
      <w:proofErr w:type="spellStart"/>
      <w:r w:rsidR="00097FC9" w:rsidRPr="007D5F3C">
        <w:t>Oxwed</w:t>
      </w:r>
      <w:proofErr w:type="spellEnd"/>
      <w:r w:rsidR="00097FC9" w:rsidRPr="007D5F3C">
        <w:t xml:space="preserve"> LLP continues at 6.5% on the amount invested which currently stands at </w:t>
      </w:r>
      <w:r w:rsidR="008D4F5B" w:rsidRPr="007D5F3C">
        <w:t>£1</w:t>
      </w:r>
      <w:r w:rsidR="00525596">
        <w:t>3</w:t>
      </w:r>
      <w:r w:rsidR="008D4F5B" w:rsidRPr="007D5F3C">
        <w:t>.</w:t>
      </w:r>
      <w:r w:rsidR="00525596">
        <w:t>3</w:t>
      </w:r>
      <w:r w:rsidR="008D4F5B" w:rsidRPr="007D5F3C">
        <w:t xml:space="preserve"> million</w:t>
      </w:r>
      <w:r w:rsidR="00097FC9" w:rsidRPr="007D5F3C">
        <w:t xml:space="preserve">. </w:t>
      </w:r>
      <w:r w:rsidR="008D4F5B" w:rsidRPr="007D5F3C">
        <w:t xml:space="preserve">Planning approval is under consideration and alongside it the delivery strategy which will move the project closer to the </w:t>
      </w:r>
      <w:r w:rsidR="008D4F5B" w:rsidRPr="00AE32C4">
        <w:t xml:space="preserve">delivery of financial returns to the Council and its partner Nuffield College. </w:t>
      </w:r>
    </w:p>
    <w:p w14:paraId="693E9AFA" w14:textId="4F4F1B81" w:rsidR="003A5206" w:rsidRPr="00525596" w:rsidRDefault="003A5206" w:rsidP="00525596">
      <w:pPr>
        <w:pStyle w:val="Bulletpoints"/>
        <w:tabs>
          <w:tab w:val="clear" w:pos="1134"/>
        </w:tabs>
        <w:ind w:left="1080" w:hanging="654"/>
      </w:pPr>
      <w:r w:rsidRPr="00525596">
        <w:rPr>
          <w:b/>
        </w:rPr>
        <w:t>Oxford Direct Services Ltd -</w:t>
      </w:r>
      <w:r w:rsidRPr="00525596">
        <w:t xml:space="preserve"> </w:t>
      </w:r>
      <w:r w:rsidR="008D4F5B" w:rsidRPr="00525596">
        <w:t xml:space="preserve">The updated ODS Business Plan includes ambitious targets to </w:t>
      </w:r>
      <w:r w:rsidR="00AE32C4" w:rsidRPr="00525596">
        <w:t xml:space="preserve">generate additional turnover for </w:t>
      </w:r>
      <w:r w:rsidR="008D4F5B" w:rsidRPr="00525596">
        <w:t xml:space="preserve">the companies trading arm </w:t>
      </w:r>
      <w:r w:rsidR="00AE32C4" w:rsidRPr="00525596">
        <w:t>u</w:t>
      </w:r>
      <w:r w:rsidR="008D4F5B" w:rsidRPr="00525596">
        <w:t xml:space="preserve">ltimately improved dividend </w:t>
      </w:r>
      <w:r w:rsidR="00AE32C4" w:rsidRPr="00525596">
        <w:t>return to the Council. Profit after</w:t>
      </w:r>
      <w:r w:rsidR="00525596" w:rsidRPr="00525596">
        <w:t xml:space="preserve"> tax is estimated at around £5.1</w:t>
      </w:r>
      <w:r w:rsidR="00AE32C4" w:rsidRPr="00525596">
        <w:t xml:space="preserve"> million by 202</w:t>
      </w:r>
      <w:r w:rsidR="00525596" w:rsidRPr="00525596">
        <w:t>6</w:t>
      </w:r>
      <w:r w:rsidR="00AE32C4" w:rsidRPr="00525596">
        <w:t>-2</w:t>
      </w:r>
      <w:r w:rsidR="00525596" w:rsidRPr="00525596">
        <w:t>7</w:t>
      </w:r>
      <w:r w:rsidR="00AE32C4" w:rsidRPr="00525596">
        <w:t>.</w:t>
      </w:r>
    </w:p>
    <w:p w14:paraId="27F63CE3" w14:textId="28DF1070" w:rsidR="000643EF" w:rsidRDefault="003A5206" w:rsidP="00525596">
      <w:pPr>
        <w:pStyle w:val="Bulletpoints"/>
        <w:tabs>
          <w:tab w:val="clear" w:pos="1134"/>
        </w:tabs>
        <w:ind w:left="1080" w:hanging="654"/>
      </w:pPr>
      <w:r w:rsidRPr="00525596">
        <w:rPr>
          <w:b/>
        </w:rPr>
        <w:t xml:space="preserve">Oxford City Housing Ltd </w:t>
      </w:r>
      <w:r w:rsidRPr="00525596">
        <w:t>–</w:t>
      </w:r>
      <w:r w:rsidR="00AE32C4" w:rsidRPr="00525596">
        <w:t>Dividend r</w:t>
      </w:r>
      <w:r w:rsidR="00AF68B6" w:rsidRPr="00525596">
        <w:t>eturns from the Company are expected to be around £</w:t>
      </w:r>
      <w:r w:rsidR="00AE32C4" w:rsidRPr="00525596">
        <w:t>1</w:t>
      </w:r>
      <w:r w:rsidR="00525596">
        <w:t>0</w:t>
      </w:r>
      <w:r w:rsidR="00AE32C4" w:rsidRPr="00525596">
        <w:t>.</w:t>
      </w:r>
      <w:r w:rsidR="00525596">
        <w:t>9</w:t>
      </w:r>
      <w:r w:rsidR="00AE32C4" w:rsidRPr="00525596">
        <w:t xml:space="preserve"> million </w:t>
      </w:r>
      <w:r w:rsidR="00525596">
        <w:t>over the MTFS in addition to marginal returns of interest on monies borrowed</w:t>
      </w:r>
      <w:r w:rsidR="00F46186">
        <w:t>.</w:t>
      </w:r>
      <w:r w:rsidR="00AF68B6" w:rsidRPr="00525596">
        <w:t xml:space="preserve"> </w:t>
      </w:r>
    </w:p>
    <w:p w14:paraId="21CC61E8" w14:textId="1FAA6AB6" w:rsidR="003A5206" w:rsidRPr="000643EF" w:rsidRDefault="000643EF" w:rsidP="00525596">
      <w:pPr>
        <w:pStyle w:val="Bulletpoints"/>
        <w:tabs>
          <w:tab w:val="clear" w:pos="1134"/>
        </w:tabs>
        <w:ind w:left="1080" w:hanging="654"/>
      </w:pPr>
      <w:r w:rsidRPr="000643EF">
        <w:rPr>
          <w:b/>
        </w:rPr>
        <w:t xml:space="preserve">Borrowing </w:t>
      </w:r>
      <w:r>
        <w:t xml:space="preserve">- </w:t>
      </w:r>
      <w:r w:rsidRPr="000643EF">
        <w:t>Due to the scale of investment over the period to 2024/25 to 2027/28, including the loans to the Council’s Housing Company (£100.7 million), the level of prudential borrowing will increase to over £904.3 million in 2027/28 from the projected £394.0 million at the end of 2023/24. Borrowing from internal resources will be maximised on the General Fund, however much of the borrowing will need to be from external resources with anticipated external borrowing increasing from £198.5 million to £795.5 million in 2027/28. The Housing Revenue Account Capital Programme is largely funded from council house rents over time but includes £413.4 million borrowing from 2023/24 to 2027/28</w:t>
      </w:r>
    </w:p>
    <w:p w14:paraId="563524F9" w14:textId="7CB73320" w:rsidR="005A3124" w:rsidRPr="001D188E" w:rsidRDefault="005A3124" w:rsidP="00525596">
      <w:pPr>
        <w:pStyle w:val="Bulletpoints"/>
        <w:tabs>
          <w:tab w:val="clear" w:pos="1134"/>
        </w:tabs>
        <w:ind w:left="1080" w:hanging="654"/>
      </w:pPr>
      <w:r w:rsidRPr="0084763E">
        <w:rPr>
          <w:b/>
        </w:rPr>
        <w:t>Retained Business Rates</w:t>
      </w:r>
      <w:r w:rsidRPr="0084763E">
        <w:t xml:space="preserve"> – The MTFS includes estimates of</w:t>
      </w:r>
      <w:r w:rsidRPr="001D188E">
        <w:t xml:space="preserve"> the amount of Retained Business Rates income for the authority, based on the Government’s indication of tariffs and baseline income for 202</w:t>
      </w:r>
      <w:r w:rsidR="00525596">
        <w:t>4</w:t>
      </w:r>
      <w:r w:rsidRPr="001D188E">
        <w:t>-2</w:t>
      </w:r>
      <w:r w:rsidR="00525596">
        <w:t>5</w:t>
      </w:r>
      <w:r w:rsidRPr="001D188E">
        <w:t xml:space="preserve">. </w:t>
      </w:r>
      <w:r w:rsidR="001D188E" w:rsidRPr="001D188E">
        <w:t xml:space="preserve">The Government have indicated that fairer funding and business rates reset will </w:t>
      </w:r>
      <w:r w:rsidR="001D188E" w:rsidRPr="001D188E">
        <w:lastRenderedPageBreak/>
        <w:t>be delayed until 2025-26</w:t>
      </w:r>
      <w:r w:rsidR="00F4129A" w:rsidRPr="001D188E">
        <w:t>.</w:t>
      </w:r>
      <w:r w:rsidR="001D188E" w:rsidRPr="001D188E">
        <w:t xml:space="preserve"> There remains uncertainty after this date for which a provision has been built into the MTFS.</w:t>
      </w:r>
    </w:p>
    <w:p w14:paraId="083BA958" w14:textId="77777777" w:rsidR="007B754D" w:rsidRPr="00371E0B" w:rsidRDefault="005A3124" w:rsidP="007B754D">
      <w:pPr>
        <w:pStyle w:val="ListParagraph"/>
        <w:numPr>
          <w:ilvl w:val="0"/>
          <w:numId w:val="17"/>
        </w:numPr>
        <w:ind w:left="1134" w:hanging="425"/>
        <w:rPr>
          <w:rFonts w:cs="Arial"/>
          <w:color w:val="auto"/>
        </w:rPr>
      </w:pPr>
      <w:r w:rsidRPr="00AE32C4">
        <w:rPr>
          <w:b/>
        </w:rPr>
        <w:t>Pay Assumptions</w:t>
      </w:r>
      <w:r w:rsidRPr="00AE32C4">
        <w:t xml:space="preserve"> – </w:t>
      </w:r>
      <w:r w:rsidR="007B754D" w:rsidRPr="00371E0B">
        <w:rPr>
          <w:color w:val="auto"/>
        </w:rPr>
        <w:t>Last year the Council agreed a 2</w:t>
      </w:r>
      <w:r w:rsidR="007B754D">
        <w:rPr>
          <w:color w:val="auto"/>
        </w:rPr>
        <w:t>-</w:t>
      </w:r>
      <w:r w:rsidR="007B754D" w:rsidRPr="00371E0B">
        <w:rPr>
          <w:color w:val="auto"/>
        </w:rPr>
        <w:t>year local pay deal with the staff unions, commencing 1</w:t>
      </w:r>
      <w:r w:rsidR="007B754D" w:rsidRPr="00371E0B">
        <w:rPr>
          <w:color w:val="auto"/>
          <w:vertAlign w:val="superscript"/>
        </w:rPr>
        <w:t>st</w:t>
      </w:r>
      <w:r w:rsidR="007B754D" w:rsidRPr="00371E0B">
        <w:rPr>
          <w:color w:val="auto"/>
        </w:rPr>
        <w:t xml:space="preserve"> April 2022 of 2% and 2.5%. In December 2023 unions balloted </w:t>
      </w:r>
      <w:r w:rsidR="007B754D" w:rsidRPr="00371E0B">
        <w:rPr>
          <w:rFonts w:cs="Arial"/>
          <w:color w:val="auto"/>
        </w:rPr>
        <w:t xml:space="preserve">members and </w:t>
      </w:r>
      <w:r w:rsidR="007B754D">
        <w:rPr>
          <w:rFonts w:cs="Arial"/>
          <w:color w:val="auto"/>
        </w:rPr>
        <w:t xml:space="preserve">overwhelmingly </w:t>
      </w:r>
      <w:r w:rsidR="007B754D" w:rsidRPr="00371E0B">
        <w:rPr>
          <w:rFonts w:cs="Arial"/>
          <w:color w:val="auto"/>
        </w:rPr>
        <w:t xml:space="preserve">agreed to accept a </w:t>
      </w:r>
      <w:proofErr w:type="gramStart"/>
      <w:r w:rsidR="007B754D" w:rsidRPr="00371E0B">
        <w:rPr>
          <w:rFonts w:cs="Arial"/>
          <w:color w:val="auto"/>
        </w:rPr>
        <w:t>two year</w:t>
      </w:r>
      <w:proofErr w:type="gramEnd"/>
      <w:r w:rsidR="007B754D" w:rsidRPr="00371E0B">
        <w:rPr>
          <w:rFonts w:cs="Arial"/>
          <w:color w:val="auto"/>
        </w:rPr>
        <w:t xml:space="preserve"> deal </w:t>
      </w:r>
    </w:p>
    <w:p w14:paraId="73DC56D4" w14:textId="77777777" w:rsidR="007B754D" w:rsidRPr="00F37445" w:rsidRDefault="007B754D" w:rsidP="007B754D">
      <w:pPr>
        <w:pStyle w:val="ListParagraph"/>
        <w:numPr>
          <w:ilvl w:val="1"/>
          <w:numId w:val="16"/>
        </w:numPr>
        <w:tabs>
          <w:tab w:val="clear" w:pos="426"/>
        </w:tabs>
        <w:spacing w:after="0"/>
        <w:rPr>
          <w:rFonts w:cs="Arial"/>
          <w:color w:val="auto"/>
        </w:rPr>
      </w:pPr>
      <w:r w:rsidRPr="00F37445">
        <w:rPr>
          <w:rFonts w:cs="Arial"/>
          <w:color w:val="auto"/>
        </w:rPr>
        <w:t>6.5% increase from 1-4-2024</w:t>
      </w:r>
    </w:p>
    <w:p w14:paraId="66FBF641" w14:textId="77777777" w:rsidR="007B754D" w:rsidRDefault="007B754D" w:rsidP="007B754D">
      <w:pPr>
        <w:pStyle w:val="ListParagraph"/>
        <w:numPr>
          <w:ilvl w:val="1"/>
          <w:numId w:val="16"/>
        </w:numPr>
        <w:tabs>
          <w:tab w:val="clear" w:pos="426"/>
        </w:tabs>
        <w:spacing w:after="0"/>
        <w:rPr>
          <w:rFonts w:cs="Arial"/>
          <w:color w:val="auto"/>
        </w:rPr>
      </w:pPr>
      <w:r w:rsidRPr="00F37445">
        <w:rPr>
          <w:rFonts w:cs="Arial"/>
          <w:color w:val="auto"/>
        </w:rPr>
        <w:t>3% increase from 1-4-2025</w:t>
      </w:r>
    </w:p>
    <w:p w14:paraId="4EDAC372" w14:textId="77777777" w:rsidR="005A3124" w:rsidRPr="005B4FD6" w:rsidRDefault="005A3124" w:rsidP="005B4FD6">
      <w:pPr>
        <w:pStyle w:val="Bulletpoints"/>
        <w:tabs>
          <w:tab w:val="clear" w:pos="1134"/>
        </w:tabs>
        <w:ind w:left="1080" w:hanging="654"/>
      </w:pPr>
      <w:r w:rsidRPr="00AE32C4">
        <w:rPr>
          <w:b/>
        </w:rPr>
        <w:t>Inflation</w:t>
      </w:r>
      <w:r w:rsidRPr="00AE32C4">
        <w:t xml:space="preserve"> – With the exception of contractual inflation </w:t>
      </w:r>
      <w:proofErr w:type="gramStart"/>
      <w:r w:rsidRPr="00AE32C4">
        <w:t>e.g.</w:t>
      </w:r>
      <w:proofErr w:type="gramEnd"/>
      <w:r w:rsidRPr="00AE32C4">
        <w:t xml:space="preserve"> Leisure contract </w:t>
      </w:r>
      <w:r w:rsidRPr="005B4FD6">
        <w:t>and ICT maintenance contracts and pay budgets all other budgets are cash limited.</w:t>
      </w:r>
    </w:p>
    <w:p w14:paraId="5AD29A67" w14:textId="77777777" w:rsidR="00150DF7" w:rsidRPr="005B4FD6" w:rsidRDefault="00150DF7" w:rsidP="005B4FD6">
      <w:pPr>
        <w:pStyle w:val="Heading1"/>
      </w:pPr>
      <w:r w:rsidRPr="005B4FD6">
        <w:t>Housing Revenue Account (HRA) Assumptions</w:t>
      </w:r>
    </w:p>
    <w:p w14:paraId="5C7A4B71" w14:textId="77777777" w:rsidR="00CB7331" w:rsidRPr="005B4FD6" w:rsidRDefault="00CB7331" w:rsidP="005B4FD6">
      <w:pPr>
        <w:pStyle w:val="bParagraphtext"/>
        <w:numPr>
          <w:ilvl w:val="0"/>
          <w:numId w:val="10"/>
        </w:numPr>
        <w:tabs>
          <w:tab w:val="clear" w:pos="426"/>
        </w:tabs>
        <w:ind w:left="426" w:hanging="426"/>
      </w:pPr>
      <w:r w:rsidRPr="005B4FD6">
        <w:t xml:space="preserve">The Scrutiny of the HRA budget and Business Plan has followed a similar process to that for the General Fund outlined above. </w:t>
      </w:r>
    </w:p>
    <w:p w14:paraId="5AA59FAF" w14:textId="77777777" w:rsidR="00CB7331" w:rsidRPr="005B4FD6" w:rsidRDefault="00CB7331" w:rsidP="005B4FD6">
      <w:pPr>
        <w:pStyle w:val="bParagraphtext"/>
        <w:numPr>
          <w:ilvl w:val="0"/>
          <w:numId w:val="10"/>
        </w:numPr>
        <w:ind w:hanging="3240"/>
      </w:pPr>
      <w:r w:rsidRPr="005B4FD6">
        <w:t xml:space="preserve">Key assumptions in the HRA budget include: </w:t>
      </w:r>
    </w:p>
    <w:p w14:paraId="1EEBF549" w14:textId="77777777" w:rsidR="00CB7331" w:rsidRPr="005B4FD6" w:rsidRDefault="00CB7331" w:rsidP="005B4FD6">
      <w:pPr>
        <w:pStyle w:val="Bulletpoints"/>
        <w:ind w:hanging="708"/>
        <w:rPr>
          <w:b/>
        </w:rPr>
      </w:pPr>
      <w:r w:rsidRPr="005B4FD6">
        <w:rPr>
          <w:b/>
        </w:rPr>
        <w:t xml:space="preserve">Rent Setting </w:t>
      </w:r>
    </w:p>
    <w:p w14:paraId="6429CA94" w14:textId="1C08A4B5" w:rsidR="005B4FD6" w:rsidRPr="00CB2D6E" w:rsidRDefault="005B4FD6" w:rsidP="005B4FD6">
      <w:pPr>
        <w:pStyle w:val="Bulletpoints"/>
        <w:numPr>
          <w:ilvl w:val="0"/>
          <w:numId w:val="0"/>
        </w:numPr>
        <w:ind w:left="1134"/>
        <w:rPr>
          <w:rFonts w:cs="Arial"/>
        </w:rPr>
      </w:pPr>
      <w:r w:rsidRPr="005B4FD6">
        <w:rPr>
          <w:rFonts w:cs="Arial"/>
        </w:rPr>
        <w:t xml:space="preserve">The Council has approved an increase of 7.7% for 2024/25 in social dwelling rents from 1st April 2024 giving an average weekly increase of £9.27 per </w:t>
      </w:r>
      <w:r w:rsidRPr="00CB2D6E">
        <w:rPr>
          <w:rFonts w:cs="Arial"/>
        </w:rPr>
        <w:t xml:space="preserve">week, and a revised weekly average social rent of £129.72. </w:t>
      </w:r>
    </w:p>
    <w:p w14:paraId="3EB4930E" w14:textId="324D85DB" w:rsidR="00CB7331" w:rsidRPr="00CB2D6E" w:rsidRDefault="00CB7331" w:rsidP="00CB2D6E">
      <w:pPr>
        <w:pStyle w:val="Bulletpoints"/>
        <w:numPr>
          <w:ilvl w:val="0"/>
          <w:numId w:val="17"/>
        </w:numPr>
        <w:ind w:hanging="1014"/>
        <w:rPr>
          <w:b/>
        </w:rPr>
      </w:pPr>
      <w:r w:rsidRPr="00CB2D6E">
        <w:rPr>
          <w:b/>
        </w:rPr>
        <w:t xml:space="preserve">Debt Management Strategy </w:t>
      </w:r>
    </w:p>
    <w:p w14:paraId="307A4F36" w14:textId="4C99818C" w:rsidR="00CB7331" w:rsidRPr="001D188E" w:rsidRDefault="00CB2D6E" w:rsidP="00CB2D6E">
      <w:pPr>
        <w:pStyle w:val="Bulletpoints"/>
        <w:numPr>
          <w:ilvl w:val="0"/>
          <w:numId w:val="0"/>
        </w:numPr>
        <w:ind w:left="1134"/>
      </w:pPr>
      <w:r w:rsidRPr="00CB2D6E">
        <w:t>The HRA Capital Financing Requirement (CFR) will increase from an estimated £298 million at the 31-3-2024 to £639 million by 31-3-2028. Overall external debt will rise to an estimated £795 million at the end of this period, much of it in relation to the increased HRA CFR</w:t>
      </w:r>
      <w:r w:rsidR="00CB7331" w:rsidRPr="00CB2D6E">
        <w:t>.</w:t>
      </w:r>
      <w:r w:rsidR="00FD575A" w:rsidRPr="00CB2D6E">
        <w:t xml:space="preserve"> Sufficient provision has been made in the HRA to cover the cost of this debt.</w:t>
      </w:r>
      <w:r w:rsidR="00FD575A" w:rsidRPr="001D188E">
        <w:t xml:space="preserve"> </w:t>
      </w:r>
    </w:p>
    <w:p w14:paraId="5F3D9D43" w14:textId="77777777" w:rsidR="00CB7331" w:rsidRPr="005B4FD6" w:rsidRDefault="00CB7331" w:rsidP="005B4FD6">
      <w:pPr>
        <w:pStyle w:val="Bulletpoints"/>
        <w:ind w:hanging="708"/>
        <w:rPr>
          <w:b/>
        </w:rPr>
      </w:pPr>
      <w:r w:rsidRPr="005B4FD6">
        <w:rPr>
          <w:b/>
        </w:rPr>
        <w:t xml:space="preserve">Inflation and pay </w:t>
      </w:r>
      <w:proofErr w:type="gramStart"/>
      <w:r w:rsidRPr="005B4FD6">
        <w:rPr>
          <w:b/>
        </w:rPr>
        <w:t>assumptions</w:t>
      </w:r>
      <w:proofErr w:type="gramEnd"/>
    </w:p>
    <w:p w14:paraId="59C6FA97" w14:textId="77777777" w:rsidR="00CB7331" w:rsidRPr="00830C84" w:rsidRDefault="00CB7331" w:rsidP="005B4FD6">
      <w:pPr>
        <w:pStyle w:val="Bulletpoints"/>
        <w:numPr>
          <w:ilvl w:val="0"/>
          <w:numId w:val="0"/>
        </w:numPr>
        <w:ind w:left="1134"/>
      </w:pPr>
      <w:r w:rsidRPr="005B4FD6">
        <w:t>All the assumptions for pay inflation are the same as for the Council’s General Fund.</w:t>
      </w:r>
    </w:p>
    <w:p w14:paraId="26ADC66C" w14:textId="77777777" w:rsidR="00CB7331" w:rsidRPr="00CC7BA7" w:rsidRDefault="00CB7331" w:rsidP="00CC7BA7">
      <w:pPr>
        <w:pStyle w:val="Heading1"/>
      </w:pPr>
      <w:r w:rsidRPr="00CC7BA7">
        <w:t xml:space="preserve">Capital </w:t>
      </w:r>
    </w:p>
    <w:p w14:paraId="73A1E1CA" w14:textId="6C77FF44" w:rsidR="00CB7331" w:rsidRPr="00CC7BA7" w:rsidRDefault="00CB7331" w:rsidP="00CC7BA7">
      <w:pPr>
        <w:pStyle w:val="bParagraphtext"/>
        <w:numPr>
          <w:ilvl w:val="0"/>
          <w:numId w:val="10"/>
        </w:numPr>
        <w:tabs>
          <w:tab w:val="clear" w:pos="426"/>
        </w:tabs>
        <w:ind w:left="426" w:hanging="426"/>
      </w:pPr>
      <w:r w:rsidRPr="00CC7BA7">
        <w:t xml:space="preserve">The Council has set an ambitious Capital Programme for the next four years </w:t>
      </w:r>
      <w:proofErr w:type="gramStart"/>
      <w:r w:rsidRPr="00CC7BA7">
        <w:t>in excess of</w:t>
      </w:r>
      <w:proofErr w:type="gramEnd"/>
      <w:r w:rsidRPr="00CC7BA7">
        <w:t xml:space="preserve"> £</w:t>
      </w:r>
      <w:r w:rsidR="00A36540" w:rsidRPr="00CC7BA7">
        <w:t>7</w:t>
      </w:r>
      <w:r w:rsidR="005B4FD6" w:rsidRPr="00CC7BA7">
        <w:t>50</w:t>
      </w:r>
      <w:r w:rsidRPr="00CC7BA7">
        <w:t xml:space="preserve"> million. </w:t>
      </w:r>
    </w:p>
    <w:p w14:paraId="24600A4E" w14:textId="6763E0DC" w:rsidR="00CB7331" w:rsidRPr="00DF374F" w:rsidRDefault="00CB7331" w:rsidP="00CC7BA7">
      <w:pPr>
        <w:pStyle w:val="bParagraphtext"/>
        <w:numPr>
          <w:ilvl w:val="0"/>
          <w:numId w:val="10"/>
        </w:numPr>
        <w:tabs>
          <w:tab w:val="clear" w:pos="426"/>
        </w:tabs>
        <w:ind w:left="426" w:hanging="426"/>
      </w:pPr>
      <w:r w:rsidRPr="00CC7BA7">
        <w:t>The preparation of the Capital Programme has undergone similar scrutiny to the other areas of the Council’s budget with the Development Board having an oversight of all new bids. Contingencies are included within individual schemes for variations in spend with any other variations outside these amounts being subject to the normal virement and supplementary estimate approvals set out in the Council’s Financial Rules.</w:t>
      </w:r>
      <w:r w:rsidR="005B4FD6" w:rsidRPr="00CC7BA7">
        <w:t xml:space="preserve"> For this year a 40% optimism bias has been built into the capital budget. This a recognised methodology which </w:t>
      </w:r>
      <w:r w:rsidR="00CC7BA7" w:rsidRPr="00CC7BA7">
        <w:t>highlights</w:t>
      </w:r>
      <w:r w:rsidR="005B4FD6" w:rsidRPr="00CC7BA7">
        <w:t xml:space="preserve"> the </w:t>
      </w:r>
      <w:r w:rsidR="00CC7BA7" w:rsidRPr="00CC7BA7">
        <w:t>tendency</w:t>
      </w:r>
      <w:r w:rsidR="005B4FD6" w:rsidRPr="00CC7BA7">
        <w:t xml:space="preserve"> for project managers to be overly optimistic on how much of the capital programme that can be delivered. </w:t>
      </w:r>
      <w:r w:rsidR="00CC7BA7" w:rsidRPr="00CC7BA7">
        <w:t xml:space="preserve">This has the effect of reducing the programme down to £550 </w:t>
      </w:r>
      <w:r w:rsidR="00CC7BA7" w:rsidRPr="00DF374F">
        <w:t>million over the MTFS.</w:t>
      </w:r>
    </w:p>
    <w:p w14:paraId="0163AD22" w14:textId="7D564995" w:rsidR="00CB7331" w:rsidRPr="00DF374F" w:rsidRDefault="00CB7331" w:rsidP="00DF374F">
      <w:pPr>
        <w:pStyle w:val="bParagraphtext"/>
        <w:numPr>
          <w:ilvl w:val="0"/>
          <w:numId w:val="10"/>
        </w:numPr>
        <w:tabs>
          <w:tab w:val="clear" w:pos="426"/>
        </w:tabs>
        <w:ind w:left="426" w:hanging="426"/>
      </w:pPr>
      <w:r w:rsidRPr="00DF374F">
        <w:t>Financing of schemes within the Programme is predominantly through borrowing which at £</w:t>
      </w:r>
      <w:r w:rsidR="00CB2D6E" w:rsidRPr="00DF374F">
        <w:t>678</w:t>
      </w:r>
      <w:r w:rsidRPr="00DF374F">
        <w:t xml:space="preserve"> million over the </w:t>
      </w:r>
      <w:proofErr w:type="gramStart"/>
      <w:r w:rsidRPr="00DF374F">
        <w:t>4 year</w:t>
      </w:r>
      <w:proofErr w:type="gramEnd"/>
      <w:r w:rsidRPr="00DF374F">
        <w:t xml:space="preserve"> programme represents </w:t>
      </w:r>
      <w:r w:rsidR="00CB2D6E" w:rsidRPr="00DF374F">
        <w:t>74</w:t>
      </w:r>
      <w:r w:rsidRPr="00DF374F">
        <w:t xml:space="preserve">% of the total </w:t>
      </w:r>
      <w:r w:rsidRPr="00DF374F">
        <w:lastRenderedPageBreak/>
        <w:t xml:space="preserve">programme. Most General Fund additional borrowing is in relation to loans to the Council’s Housing Development Company (OCH(D)L) with the HRA borrowing being in relation to the purchase of social housing units from OCH(D)L. </w:t>
      </w:r>
    </w:p>
    <w:p w14:paraId="67F59132" w14:textId="77777777" w:rsidR="00CB7331" w:rsidRPr="00826BF4" w:rsidRDefault="00CB7331" w:rsidP="00DF374F">
      <w:pPr>
        <w:pStyle w:val="Heading1"/>
      </w:pPr>
      <w:r w:rsidRPr="00DF374F">
        <w:t>Adequacy of Reserves and Balances</w:t>
      </w:r>
    </w:p>
    <w:p w14:paraId="4FCE53D6" w14:textId="77777777" w:rsidR="007A0DF4" w:rsidRDefault="00CB7331" w:rsidP="00DF374F">
      <w:pPr>
        <w:pStyle w:val="ListParagraph"/>
        <w:numPr>
          <w:ilvl w:val="0"/>
          <w:numId w:val="12"/>
        </w:numPr>
        <w:tabs>
          <w:tab w:val="clear" w:pos="426"/>
        </w:tabs>
        <w:ind w:left="426" w:hanging="426"/>
      </w:pPr>
      <w:r w:rsidRPr="00826BF4">
        <w:t xml:space="preserve">The prudent level of reserves that the Council should maintain is a matter of judgement. </w:t>
      </w:r>
      <w:proofErr w:type="gramStart"/>
      <w:r w:rsidRPr="00826BF4">
        <w:t>Generally</w:t>
      </w:r>
      <w:proofErr w:type="gramEnd"/>
      <w:r w:rsidRPr="00826BF4">
        <w:t xml:space="preserve"> the higher the risk of the council’s financial plans the higher the level of reserves and balances. </w:t>
      </w:r>
      <w:r w:rsidR="007A0DF4">
        <w:t xml:space="preserve">The Oxford Model’s reliance on income streams from its wholly owned companies and other sources of income such as commercial rents (as illustrated below) is more of a risk than simply reducing spend. In such situations it is prudent and advisable to hold an adequate </w:t>
      </w:r>
      <w:proofErr w:type="gramStart"/>
      <w:r w:rsidR="007A0DF4">
        <w:t>amount</w:t>
      </w:r>
      <w:proofErr w:type="gramEnd"/>
      <w:r w:rsidR="007A0DF4">
        <w:t xml:space="preserve"> of reserves and balances to deal with any volatility in these areas. </w:t>
      </w:r>
    </w:p>
    <w:p w14:paraId="4E4AED72" w14:textId="522A7A81" w:rsidR="00153412" w:rsidRPr="00153412" w:rsidRDefault="000643EF" w:rsidP="00153412">
      <w:pPr>
        <w:spacing w:before="100" w:beforeAutospacing="1" w:after="100" w:afterAutospacing="1"/>
        <w:rPr>
          <w:rFonts w:ascii="Times New Roman" w:hAnsi="Times New Roman"/>
          <w:color w:val="auto"/>
        </w:rPr>
      </w:pPr>
      <w:r w:rsidRPr="00586930">
        <w:rPr>
          <w:rFonts w:cs="Arial"/>
          <w:noProof/>
        </w:rPr>
        <w:drawing>
          <wp:inline distT="0" distB="0" distL="0" distR="0" wp14:anchorId="42AA91B6" wp14:editId="586EC669">
            <wp:extent cx="5904230" cy="3105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3105544"/>
                    </a:xfrm>
                    <a:prstGeom prst="rect">
                      <a:avLst/>
                    </a:prstGeom>
                    <a:noFill/>
                  </pic:spPr>
                </pic:pic>
              </a:graphicData>
            </a:graphic>
          </wp:inline>
        </w:drawing>
      </w:r>
    </w:p>
    <w:p w14:paraId="592A0A5F" w14:textId="37DE0325" w:rsidR="009F361D" w:rsidRDefault="009F361D" w:rsidP="00153412">
      <w:pPr>
        <w:pStyle w:val="bParagraphtext"/>
        <w:numPr>
          <w:ilvl w:val="0"/>
          <w:numId w:val="12"/>
        </w:numPr>
        <w:tabs>
          <w:tab w:val="clear" w:pos="426"/>
        </w:tabs>
        <w:ind w:left="426" w:hanging="426"/>
      </w:pPr>
      <w:r w:rsidRPr="00153412">
        <w:t xml:space="preserve">The </w:t>
      </w:r>
      <w:r w:rsidR="00960886" w:rsidRPr="00153412">
        <w:t>leve</w:t>
      </w:r>
      <w:r w:rsidRPr="00153412">
        <w:t xml:space="preserve">l of the Councils overall reserves and balances is shown in Appendix 1 and summarised </w:t>
      </w:r>
      <w:r w:rsidR="00960886" w:rsidRPr="00153412">
        <w:t xml:space="preserve">in Table 1 </w:t>
      </w:r>
      <w:r w:rsidRPr="00153412">
        <w:t>below</w:t>
      </w:r>
      <w:r w:rsidR="001218A2" w:rsidRPr="00153412">
        <w:t>:</w:t>
      </w:r>
    </w:p>
    <w:p w14:paraId="0097BE9F" w14:textId="77777777" w:rsidR="00CD199C" w:rsidRDefault="00CD199C" w:rsidP="00CD199C">
      <w:pPr>
        <w:pStyle w:val="bParagraphtext"/>
        <w:tabs>
          <w:tab w:val="clear" w:pos="426"/>
        </w:tabs>
      </w:pPr>
    </w:p>
    <w:p w14:paraId="7251DAFA" w14:textId="77777777" w:rsidR="00DF374F" w:rsidRDefault="00DF374F" w:rsidP="00CD199C">
      <w:pPr>
        <w:pStyle w:val="bParagraphtext"/>
        <w:tabs>
          <w:tab w:val="clear" w:pos="426"/>
        </w:tabs>
      </w:pPr>
    </w:p>
    <w:p w14:paraId="494AA0C8" w14:textId="77777777" w:rsidR="00DF374F" w:rsidRDefault="00DF374F" w:rsidP="00CD199C">
      <w:pPr>
        <w:pStyle w:val="bParagraphtext"/>
        <w:tabs>
          <w:tab w:val="clear" w:pos="426"/>
        </w:tabs>
      </w:pPr>
    </w:p>
    <w:p w14:paraId="4F06EB27" w14:textId="77777777" w:rsidR="00DF374F" w:rsidRDefault="00DF374F" w:rsidP="00CD199C">
      <w:pPr>
        <w:pStyle w:val="bParagraphtext"/>
        <w:tabs>
          <w:tab w:val="clear" w:pos="426"/>
        </w:tabs>
      </w:pPr>
    </w:p>
    <w:p w14:paraId="5778107B" w14:textId="77777777" w:rsidR="00DF374F" w:rsidRDefault="00DF374F" w:rsidP="00CD199C">
      <w:pPr>
        <w:pStyle w:val="bParagraphtext"/>
        <w:tabs>
          <w:tab w:val="clear" w:pos="426"/>
        </w:tabs>
      </w:pPr>
    </w:p>
    <w:p w14:paraId="341D2C4E" w14:textId="77777777" w:rsidR="00DF374F" w:rsidRDefault="00DF374F" w:rsidP="00CD199C">
      <w:pPr>
        <w:pStyle w:val="bParagraphtext"/>
        <w:tabs>
          <w:tab w:val="clear" w:pos="426"/>
        </w:tabs>
      </w:pPr>
    </w:p>
    <w:p w14:paraId="7A1C2231" w14:textId="77777777" w:rsidR="00CD199C" w:rsidRDefault="00CD199C" w:rsidP="00CD199C">
      <w:pPr>
        <w:pStyle w:val="bParagraphtext"/>
        <w:tabs>
          <w:tab w:val="clear" w:pos="426"/>
        </w:tabs>
      </w:pPr>
    </w:p>
    <w:p w14:paraId="2458B467" w14:textId="77777777" w:rsidR="00CD199C" w:rsidRDefault="00CD199C" w:rsidP="00CD199C">
      <w:pPr>
        <w:pStyle w:val="bParagraphtext"/>
        <w:tabs>
          <w:tab w:val="clear" w:pos="426"/>
        </w:tabs>
      </w:pPr>
    </w:p>
    <w:p w14:paraId="7A0D9DF8" w14:textId="77777777" w:rsidR="00CD199C" w:rsidRDefault="00CD199C" w:rsidP="00CD199C">
      <w:pPr>
        <w:pStyle w:val="bParagraphtext"/>
        <w:tabs>
          <w:tab w:val="clear" w:pos="426"/>
        </w:tabs>
      </w:pPr>
    </w:p>
    <w:p w14:paraId="77722907" w14:textId="77777777" w:rsidR="00CD199C" w:rsidRDefault="00CD199C" w:rsidP="00CD199C">
      <w:pPr>
        <w:pStyle w:val="bParagraphtext"/>
        <w:tabs>
          <w:tab w:val="clear" w:pos="426"/>
        </w:tabs>
      </w:pPr>
    </w:p>
    <w:p w14:paraId="719CEE25" w14:textId="77777777" w:rsidR="00CD199C" w:rsidRDefault="00CD199C" w:rsidP="00CD199C">
      <w:pPr>
        <w:pStyle w:val="bParagraphtext"/>
        <w:tabs>
          <w:tab w:val="clear" w:pos="426"/>
        </w:tabs>
      </w:pPr>
    </w:p>
    <w:p w14:paraId="7A7B96B5" w14:textId="77777777" w:rsidR="006B55F6" w:rsidRDefault="006B55F6" w:rsidP="006B55F6">
      <w:pPr>
        <w:pStyle w:val="bParagraphtext"/>
        <w:tabs>
          <w:tab w:val="clear" w:pos="426"/>
        </w:tabs>
      </w:pPr>
    </w:p>
    <w:tbl>
      <w:tblPr>
        <w:tblW w:w="9298" w:type="dxa"/>
        <w:tblLook w:val="04A0" w:firstRow="1" w:lastRow="0" w:firstColumn="1" w:lastColumn="0" w:noHBand="0" w:noVBand="1"/>
      </w:tblPr>
      <w:tblGrid>
        <w:gridCol w:w="3867"/>
        <w:gridCol w:w="1424"/>
        <w:gridCol w:w="1423"/>
        <w:gridCol w:w="1468"/>
        <w:gridCol w:w="10"/>
        <w:gridCol w:w="212"/>
        <w:gridCol w:w="9"/>
        <w:gridCol w:w="213"/>
        <w:gridCol w:w="8"/>
        <w:gridCol w:w="214"/>
        <w:gridCol w:w="7"/>
        <w:gridCol w:w="215"/>
        <w:gridCol w:w="6"/>
        <w:gridCol w:w="222"/>
      </w:tblGrid>
      <w:tr w:rsidR="006B55F6" w:rsidRPr="006B55F6" w14:paraId="3039311D" w14:textId="77777777" w:rsidTr="006B55F6">
        <w:trPr>
          <w:gridAfter w:val="9"/>
          <w:wAfter w:w="1105" w:type="dxa"/>
          <w:trHeight w:val="260"/>
        </w:trPr>
        <w:tc>
          <w:tcPr>
            <w:tcW w:w="3868" w:type="dxa"/>
            <w:tcBorders>
              <w:top w:val="nil"/>
              <w:left w:val="nil"/>
              <w:bottom w:val="nil"/>
              <w:right w:val="nil"/>
            </w:tcBorders>
            <w:shd w:val="clear" w:color="auto" w:fill="auto"/>
            <w:noWrap/>
            <w:vAlign w:val="bottom"/>
            <w:hideMark/>
          </w:tcPr>
          <w:p w14:paraId="1C4C97E4"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 xml:space="preserve">STATEMENT OF RESERVES AND BALANCES </w:t>
            </w:r>
          </w:p>
        </w:tc>
        <w:tc>
          <w:tcPr>
            <w:tcW w:w="1424" w:type="dxa"/>
            <w:tcBorders>
              <w:top w:val="nil"/>
              <w:left w:val="nil"/>
              <w:bottom w:val="nil"/>
              <w:right w:val="nil"/>
            </w:tcBorders>
            <w:shd w:val="clear" w:color="auto" w:fill="auto"/>
            <w:noWrap/>
            <w:vAlign w:val="bottom"/>
            <w:hideMark/>
          </w:tcPr>
          <w:p w14:paraId="416BD973" w14:textId="77777777" w:rsidR="006B55F6" w:rsidRPr="006B55F6" w:rsidRDefault="006B55F6" w:rsidP="006B55F6">
            <w:pPr>
              <w:spacing w:after="0"/>
              <w:rPr>
                <w:rFonts w:ascii="Calibri" w:hAnsi="Calibri" w:cs="Calibri"/>
                <w:b/>
                <w:bCs/>
                <w:sz w:val="20"/>
                <w:szCs w:val="20"/>
              </w:rPr>
            </w:pPr>
          </w:p>
        </w:tc>
        <w:tc>
          <w:tcPr>
            <w:tcW w:w="1423" w:type="dxa"/>
            <w:tcBorders>
              <w:top w:val="nil"/>
              <w:left w:val="nil"/>
              <w:bottom w:val="nil"/>
              <w:right w:val="nil"/>
            </w:tcBorders>
            <w:shd w:val="clear" w:color="auto" w:fill="auto"/>
            <w:noWrap/>
            <w:vAlign w:val="bottom"/>
            <w:hideMark/>
          </w:tcPr>
          <w:p w14:paraId="6181DF86" w14:textId="77777777" w:rsidR="006B55F6" w:rsidRPr="006B55F6" w:rsidRDefault="006B55F6" w:rsidP="006B55F6">
            <w:pPr>
              <w:spacing w:after="0"/>
              <w:rPr>
                <w:rFonts w:ascii="Times New Roman" w:hAnsi="Times New Roman"/>
                <w:color w:val="auto"/>
                <w:sz w:val="20"/>
                <w:szCs w:val="20"/>
              </w:rPr>
            </w:pPr>
          </w:p>
        </w:tc>
        <w:tc>
          <w:tcPr>
            <w:tcW w:w="1478" w:type="dxa"/>
            <w:gridSpan w:val="2"/>
            <w:tcBorders>
              <w:top w:val="nil"/>
              <w:left w:val="nil"/>
              <w:bottom w:val="nil"/>
              <w:right w:val="nil"/>
            </w:tcBorders>
            <w:shd w:val="clear" w:color="auto" w:fill="auto"/>
            <w:noWrap/>
            <w:vAlign w:val="bottom"/>
            <w:hideMark/>
          </w:tcPr>
          <w:p w14:paraId="4E691436"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APPENDIX 1</w:t>
            </w:r>
          </w:p>
        </w:tc>
      </w:tr>
      <w:tr w:rsidR="006B55F6" w:rsidRPr="006B55F6" w14:paraId="28EF35C0" w14:textId="77777777" w:rsidTr="006B55F6">
        <w:trPr>
          <w:gridAfter w:val="9"/>
          <w:wAfter w:w="1105" w:type="dxa"/>
          <w:trHeight w:val="260"/>
        </w:trPr>
        <w:tc>
          <w:tcPr>
            <w:tcW w:w="3868" w:type="dxa"/>
            <w:tcBorders>
              <w:top w:val="nil"/>
              <w:left w:val="nil"/>
              <w:bottom w:val="nil"/>
              <w:right w:val="nil"/>
            </w:tcBorders>
            <w:shd w:val="clear" w:color="auto" w:fill="auto"/>
            <w:noWrap/>
            <w:vAlign w:val="bottom"/>
            <w:hideMark/>
          </w:tcPr>
          <w:p w14:paraId="1D1DE2AE" w14:textId="77777777" w:rsidR="006B55F6" w:rsidRPr="006B55F6" w:rsidRDefault="006B55F6" w:rsidP="006B55F6">
            <w:pPr>
              <w:spacing w:after="0"/>
              <w:rPr>
                <w:rFonts w:ascii="Calibri" w:hAnsi="Calibri" w:cs="Calibri"/>
                <w:b/>
                <w:bCs/>
                <w:sz w:val="20"/>
                <w:szCs w:val="20"/>
              </w:rPr>
            </w:pPr>
          </w:p>
        </w:tc>
        <w:tc>
          <w:tcPr>
            <w:tcW w:w="1424" w:type="dxa"/>
            <w:tcBorders>
              <w:top w:val="nil"/>
              <w:left w:val="nil"/>
              <w:bottom w:val="nil"/>
              <w:right w:val="nil"/>
            </w:tcBorders>
            <w:shd w:val="clear" w:color="auto" w:fill="auto"/>
            <w:noWrap/>
            <w:vAlign w:val="bottom"/>
            <w:hideMark/>
          </w:tcPr>
          <w:p w14:paraId="1E8DE915" w14:textId="77777777" w:rsidR="006B55F6" w:rsidRPr="006B55F6" w:rsidRDefault="006B55F6" w:rsidP="006B55F6">
            <w:pPr>
              <w:spacing w:after="0"/>
              <w:rPr>
                <w:rFonts w:ascii="Times New Roman" w:hAnsi="Times New Roman"/>
                <w:color w:val="auto"/>
                <w:sz w:val="20"/>
                <w:szCs w:val="20"/>
              </w:rPr>
            </w:pPr>
          </w:p>
        </w:tc>
        <w:tc>
          <w:tcPr>
            <w:tcW w:w="1423" w:type="dxa"/>
            <w:tcBorders>
              <w:top w:val="nil"/>
              <w:left w:val="nil"/>
              <w:bottom w:val="nil"/>
              <w:right w:val="nil"/>
            </w:tcBorders>
            <w:shd w:val="clear" w:color="auto" w:fill="auto"/>
            <w:noWrap/>
            <w:vAlign w:val="bottom"/>
            <w:hideMark/>
          </w:tcPr>
          <w:p w14:paraId="45338320" w14:textId="77777777" w:rsidR="006B55F6" w:rsidRPr="006B55F6" w:rsidRDefault="006B55F6" w:rsidP="006B55F6">
            <w:pPr>
              <w:spacing w:after="0"/>
              <w:rPr>
                <w:rFonts w:ascii="Times New Roman" w:hAnsi="Times New Roman"/>
                <w:color w:val="auto"/>
                <w:sz w:val="20"/>
                <w:szCs w:val="20"/>
              </w:rPr>
            </w:pPr>
          </w:p>
        </w:tc>
        <w:tc>
          <w:tcPr>
            <w:tcW w:w="1478" w:type="dxa"/>
            <w:gridSpan w:val="2"/>
            <w:tcBorders>
              <w:top w:val="nil"/>
              <w:left w:val="nil"/>
              <w:bottom w:val="nil"/>
              <w:right w:val="nil"/>
            </w:tcBorders>
            <w:shd w:val="clear" w:color="auto" w:fill="auto"/>
            <w:noWrap/>
            <w:vAlign w:val="bottom"/>
            <w:hideMark/>
          </w:tcPr>
          <w:p w14:paraId="643A3AD0" w14:textId="77777777" w:rsidR="006B55F6" w:rsidRPr="006B55F6" w:rsidRDefault="006B55F6" w:rsidP="006B55F6">
            <w:pPr>
              <w:spacing w:after="0"/>
              <w:rPr>
                <w:rFonts w:ascii="Times New Roman" w:hAnsi="Times New Roman"/>
                <w:color w:val="auto"/>
                <w:sz w:val="20"/>
                <w:szCs w:val="20"/>
              </w:rPr>
            </w:pPr>
          </w:p>
        </w:tc>
      </w:tr>
      <w:tr w:rsidR="006B55F6" w:rsidRPr="006B55F6" w14:paraId="4D3DD01F" w14:textId="77777777" w:rsidTr="006B55F6">
        <w:trPr>
          <w:gridAfter w:val="9"/>
          <w:wAfter w:w="1105" w:type="dxa"/>
          <w:trHeight w:val="930"/>
        </w:trPr>
        <w:tc>
          <w:tcPr>
            <w:tcW w:w="3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EDC7B6" w14:textId="77777777" w:rsidR="006B55F6" w:rsidRPr="006B55F6" w:rsidRDefault="006B55F6" w:rsidP="006B55F6">
            <w:pPr>
              <w:spacing w:after="0"/>
              <w:jc w:val="center"/>
              <w:rPr>
                <w:rFonts w:ascii="Calibri" w:hAnsi="Calibri" w:cs="Calibri"/>
                <w:b/>
                <w:bCs/>
                <w:color w:val="auto"/>
              </w:rPr>
            </w:pPr>
            <w:r w:rsidRPr="006B55F6">
              <w:rPr>
                <w:rFonts w:ascii="Calibri" w:hAnsi="Calibri" w:cs="Calibri"/>
                <w:b/>
                <w:bCs/>
                <w:color w:val="auto"/>
              </w:rPr>
              <w:t>Reserve Name</w:t>
            </w:r>
          </w:p>
        </w:tc>
        <w:tc>
          <w:tcPr>
            <w:tcW w:w="1424" w:type="dxa"/>
            <w:tcBorders>
              <w:top w:val="single" w:sz="4" w:space="0" w:color="auto"/>
              <w:left w:val="nil"/>
              <w:bottom w:val="single" w:sz="4" w:space="0" w:color="auto"/>
              <w:right w:val="single" w:sz="4" w:space="0" w:color="auto"/>
            </w:tcBorders>
            <w:shd w:val="clear" w:color="000000" w:fill="D9D9D9"/>
            <w:vAlign w:val="center"/>
            <w:hideMark/>
          </w:tcPr>
          <w:p w14:paraId="6C137D76" w14:textId="77777777" w:rsidR="006B55F6" w:rsidRPr="006B55F6" w:rsidRDefault="006B55F6" w:rsidP="006B55F6">
            <w:pPr>
              <w:spacing w:after="0"/>
              <w:jc w:val="center"/>
              <w:rPr>
                <w:rFonts w:ascii="Calibri" w:hAnsi="Calibri" w:cs="Calibri"/>
                <w:b/>
                <w:bCs/>
                <w:color w:val="auto"/>
              </w:rPr>
            </w:pPr>
            <w:r w:rsidRPr="006B55F6">
              <w:rPr>
                <w:rFonts w:ascii="Calibri" w:hAnsi="Calibri" w:cs="Calibri"/>
                <w:b/>
                <w:bCs/>
                <w:color w:val="auto"/>
              </w:rPr>
              <w:t>Current Balance @ 01/04/2023</w:t>
            </w:r>
          </w:p>
        </w:tc>
        <w:tc>
          <w:tcPr>
            <w:tcW w:w="1423" w:type="dxa"/>
            <w:tcBorders>
              <w:top w:val="single" w:sz="4" w:space="0" w:color="auto"/>
              <w:left w:val="nil"/>
              <w:bottom w:val="single" w:sz="4" w:space="0" w:color="auto"/>
              <w:right w:val="single" w:sz="4" w:space="0" w:color="auto"/>
            </w:tcBorders>
            <w:shd w:val="clear" w:color="000000" w:fill="D9D9D9"/>
            <w:vAlign w:val="center"/>
            <w:hideMark/>
          </w:tcPr>
          <w:p w14:paraId="42C10AE2" w14:textId="77777777" w:rsidR="006B55F6" w:rsidRPr="006B55F6" w:rsidRDefault="006B55F6" w:rsidP="006B55F6">
            <w:pPr>
              <w:spacing w:after="0"/>
              <w:jc w:val="center"/>
              <w:rPr>
                <w:rFonts w:ascii="Calibri" w:hAnsi="Calibri" w:cs="Calibri"/>
                <w:b/>
                <w:bCs/>
                <w:color w:val="auto"/>
              </w:rPr>
            </w:pPr>
            <w:r w:rsidRPr="006B55F6">
              <w:rPr>
                <w:rFonts w:ascii="Calibri" w:hAnsi="Calibri" w:cs="Calibri"/>
                <w:b/>
                <w:bCs/>
                <w:color w:val="auto"/>
              </w:rPr>
              <w:t>Expected balance 01/04/2024</w:t>
            </w:r>
          </w:p>
        </w:tc>
        <w:tc>
          <w:tcPr>
            <w:tcW w:w="1478" w:type="dxa"/>
            <w:gridSpan w:val="2"/>
            <w:tcBorders>
              <w:top w:val="single" w:sz="4" w:space="0" w:color="auto"/>
              <w:left w:val="nil"/>
              <w:bottom w:val="single" w:sz="4" w:space="0" w:color="auto"/>
              <w:right w:val="single" w:sz="4" w:space="0" w:color="auto"/>
            </w:tcBorders>
            <w:shd w:val="clear" w:color="000000" w:fill="D9D9D9"/>
            <w:vAlign w:val="center"/>
            <w:hideMark/>
          </w:tcPr>
          <w:p w14:paraId="02CB530D" w14:textId="77777777" w:rsidR="006B55F6" w:rsidRPr="006B55F6" w:rsidRDefault="006B55F6" w:rsidP="006B55F6">
            <w:pPr>
              <w:spacing w:after="0"/>
              <w:jc w:val="center"/>
              <w:rPr>
                <w:rFonts w:ascii="Calibri" w:hAnsi="Calibri" w:cs="Calibri"/>
                <w:b/>
                <w:bCs/>
                <w:color w:val="auto"/>
              </w:rPr>
            </w:pPr>
            <w:r w:rsidRPr="006B55F6">
              <w:rPr>
                <w:rFonts w:ascii="Calibri" w:hAnsi="Calibri" w:cs="Calibri"/>
                <w:b/>
                <w:bCs/>
                <w:color w:val="auto"/>
              </w:rPr>
              <w:t>Forecast Balance 31/03/25</w:t>
            </w:r>
          </w:p>
        </w:tc>
      </w:tr>
      <w:tr w:rsidR="006B55F6" w:rsidRPr="006B55F6" w14:paraId="2A06CC53" w14:textId="77777777" w:rsidTr="006B55F6">
        <w:trPr>
          <w:gridAfter w:val="9"/>
          <w:wAfter w:w="1105" w:type="dxa"/>
          <w:trHeight w:val="310"/>
        </w:trPr>
        <w:tc>
          <w:tcPr>
            <w:tcW w:w="3868" w:type="dxa"/>
            <w:tcBorders>
              <w:top w:val="nil"/>
              <w:left w:val="nil"/>
              <w:bottom w:val="nil"/>
              <w:right w:val="nil"/>
            </w:tcBorders>
            <w:shd w:val="clear" w:color="auto" w:fill="auto"/>
            <w:vAlign w:val="center"/>
            <w:hideMark/>
          </w:tcPr>
          <w:p w14:paraId="57660A28" w14:textId="77777777" w:rsidR="006B55F6" w:rsidRPr="006B55F6" w:rsidRDefault="006B55F6" w:rsidP="006B55F6">
            <w:pPr>
              <w:spacing w:after="0"/>
              <w:rPr>
                <w:rFonts w:ascii="Calibri" w:hAnsi="Calibri" w:cs="Calibri"/>
                <w:b/>
                <w:bCs/>
                <w:color w:val="auto"/>
              </w:rPr>
            </w:pPr>
            <w:r w:rsidRPr="006B55F6">
              <w:rPr>
                <w:rFonts w:ascii="Calibri" w:hAnsi="Calibri" w:cs="Calibri"/>
                <w:b/>
                <w:bCs/>
                <w:color w:val="auto"/>
              </w:rPr>
              <w:t>Other Earmarked Reserves</w:t>
            </w:r>
          </w:p>
        </w:tc>
        <w:tc>
          <w:tcPr>
            <w:tcW w:w="1424" w:type="dxa"/>
            <w:tcBorders>
              <w:top w:val="nil"/>
              <w:left w:val="nil"/>
              <w:bottom w:val="nil"/>
              <w:right w:val="nil"/>
            </w:tcBorders>
            <w:shd w:val="clear" w:color="auto" w:fill="auto"/>
            <w:vAlign w:val="center"/>
            <w:hideMark/>
          </w:tcPr>
          <w:p w14:paraId="00A089A9" w14:textId="77777777" w:rsidR="006B55F6" w:rsidRPr="006B55F6" w:rsidRDefault="006B55F6" w:rsidP="006B55F6">
            <w:pPr>
              <w:spacing w:after="0"/>
              <w:rPr>
                <w:rFonts w:ascii="Calibri" w:hAnsi="Calibri" w:cs="Calibri"/>
                <w:b/>
                <w:bCs/>
                <w:color w:val="auto"/>
              </w:rPr>
            </w:pPr>
          </w:p>
        </w:tc>
        <w:tc>
          <w:tcPr>
            <w:tcW w:w="1423" w:type="dxa"/>
            <w:tcBorders>
              <w:top w:val="nil"/>
              <w:left w:val="nil"/>
              <w:bottom w:val="nil"/>
              <w:right w:val="nil"/>
            </w:tcBorders>
            <w:shd w:val="clear" w:color="auto" w:fill="auto"/>
            <w:vAlign w:val="center"/>
            <w:hideMark/>
          </w:tcPr>
          <w:p w14:paraId="29CDC5CE" w14:textId="77777777" w:rsidR="006B55F6" w:rsidRPr="006B55F6" w:rsidRDefault="006B55F6" w:rsidP="006B55F6">
            <w:pPr>
              <w:spacing w:after="0"/>
              <w:jc w:val="center"/>
              <w:rPr>
                <w:rFonts w:ascii="Times New Roman" w:hAnsi="Times New Roman"/>
                <w:color w:val="auto"/>
                <w:sz w:val="20"/>
                <w:szCs w:val="20"/>
              </w:rPr>
            </w:pPr>
          </w:p>
        </w:tc>
        <w:tc>
          <w:tcPr>
            <w:tcW w:w="1478" w:type="dxa"/>
            <w:gridSpan w:val="2"/>
            <w:tcBorders>
              <w:top w:val="nil"/>
              <w:left w:val="nil"/>
              <w:bottom w:val="nil"/>
              <w:right w:val="nil"/>
            </w:tcBorders>
            <w:shd w:val="clear" w:color="auto" w:fill="auto"/>
            <w:vAlign w:val="center"/>
            <w:hideMark/>
          </w:tcPr>
          <w:p w14:paraId="562A2629" w14:textId="77777777" w:rsidR="006B55F6" w:rsidRPr="006B55F6" w:rsidRDefault="006B55F6" w:rsidP="006B55F6">
            <w:pPr>
              <w:spacing w:after="0"/>
              <w:jc w:val="center"/>
              <w:rPr>
                <w:rFonts w:ascii="Times New Roman" w:hAnsi="Times New Roman"/>
                <w:color w:val="auto"/>
                <w:sz w:val="20"/>
                <w:szCs w:val="20"/>
              </w:rPr>
            </w:pPr>
          </w:p>
        </w:tc>
      </w:tr>
      <w:tr w:rsidR="006B55F6" w:rsidRPr="006B55F6" w14:paraId="1646B376" w14:textId="77777777" w:rsidTr="006B55F6">
        <w:trPr>
          <w:gridAfter w:val="9"/>
          <w:wAfter w:w="1105" w:type="dxa"/>
          <w:trHeight w:val="260"/>
        </w:trPr>
        <w:tc>
          <w:tcPr>
            <w:tcW w:w="3868" w:type="dxa"/>
            <w:tcBorders>
              <w:top w:val="nil"/>
              <w:left w:val="nil"/>
              <w:bottom w:val="nil"/>
              <w:right w:val="nil"/>
            </w:tcBorders>
            <w:shd w:val="clear" w:color="auto" w:fill="auto"/>
            <w:noWrap/>
            <w:vAlign w:val="bottom"/>
            <w:hideMark/>
          </w:tcPr>
          <w:p w14:paraId="61D94AA4"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 xml:space="preserve">Sub total </w:t>
            </w:r>
          </w:p>
        </w:tc>
        <w:tc>
          <w:tcPr>
            <w:tcW w:w="1424" w:type="dxa"/>
            <w:tcBorders>
              <w:top w:val="nil"/>
              <w:left w:val="nil"/>
              <w:bottom w:val="nil"/>
              <w:right w:val="nil"/>
            </w:tcBorders>
            <w:shd w:val="clear" w:color="auto" w:fill="auto"/>
            <w:noWrap/>
            <w:vAlign w:val="bottom"/>
            <w:hideMark/>
          </w:tcPr>
          <w:p w14:paraId="68116226"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-37,699,364</w:t>
            </w:r>
          </w:p>
        </w:tc>
        <w:tc>
          <w:tcPr>
            <w:tcW w:w="1423" w:type="dxa"/>
            <w:tcBorders>
              <w:top w:val="nil"/>
              <w:left w:val="nil"/>
              <w:bottom w:val="nil"/>
              <w:right w:val="nil"/>
            </w:tcBorders>
            <w:shd w:val="clear" w:color="auto" w:fill="auto"/>
            <w:noWrap/>
            <w:vAlign w:val="bottom"/>
            <w:hideMark/>
          </w:tcPr>
          <w:p w14:paraId="7DEF2D35"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-25,965,737</w:t>
            </w:r>
          </w:p>
        </w:tc>
        <w:tc>
          <w:tcPr>
            <w:tcW w:w="1478" w:type="dxa"/>
            <w:gridSpan w:val="2"/>
            <w:tcBorders>
              <w:top w:val="nil"/>
              <w:left w:val="nil"/>
              <w:bottom w:val="nil"/>
              <w:right w:val="nil"/>
            </w:tcBorders>
            <w:shd w:val="clear" w:color="auto" w:fill="auto"/>
            <w:noWrap/>
            <w:vAlign w:val="bottom"/>
            <w:hideMark/>
          </w:tcPr>
          <w:p w14:paraId="5BA64F8D"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-22,225,737</w:t>
            </w:r>
          </w:p>
        </w:tc>
      </w:tr>
      <w:tr w:rsidR="006B55F6" w:rsidRPr="006B55F6" w14:paraId="674D6C53" w14:textId="77777777" w:rsidTr="006B55F6">
        <w:trPr>
          <w:trHeight w:val="310"/>
        </w:trPr>
        <w:tc>
          <w:tcPr>
            <w:tcW w:w="8856" w:type="dxa"/>
            <w:gridSpan w:val="11"/>
            <w:tcBorders>
              <w:top w:val="nil"/>
              <w:left w:val="nil"/>
              <w:bottom w:val="nil"/>
              <w:right w:val="nil"/>
            </w:tcBorders>
            <w:shd w:val="clear" w:color="auto" w:fill="auto"/>
            <w:noWrap/>
            <w:vAlign w:val="bottom"/>
            <w:hideMark/>
          </w:tcPr>
          <w:p w14:paraId="315F642D" w14:textId="77777777" w:rsidR="006B55F6" w:rsidRPr="006B55F6" w:rsidRDefault="006B55F6" w:rsidP="006B55F6">
            <w:pPr>
              <w:spacing w:after="0"/>
              <w:rPr>
                <w:rFonts w:ascii="Calibri" w:hAnsi="Calibri" w:cs="Calibri"/>
                <w:b/>
                <w:bCs/>
              </w:rPr>
            </w:pPr>
            <w:r w:rsidRPr="006B55F6">
              <w:rPr>
                <w:rFonts w:ascii="Calibri" w:hAnsi="Calibri" w:cs="Calibri"/>
                <w:b/>
                <w:bCs/>
              </w:rPr>
              <w:t>Ringfenced reserves funded by 3rd parties</w:t>
            </w:r>
          </w:p>
        </w:tc>
        <w:tc>
          <w:tcPr>
            <w:tcW w:w="221" w:type="dxa"/>
            <w:gridSpan w:val="2"/>
            <w:tcBorders>
              <w:top w:val="nil"/>
              <w:left w:val="nil"/>
              <w:bottom w:val="nil"/>
              <w:right w:val="nil"/>
            </w:tcBorders>
            <w:shd w:val="clear" w:color="auto" w:fill="auto"/>
            <w:noWrap/>
            <w:vAlign w:val="bottom"/>
            <w:hideMark/>
          </w:tcPr>
          <w:p w14:paraId="3392CF91" w14:textId="77777777" w:rsidR="006B55F6" w:rsidRPr="006B55F6" w:rsidRDefault="006B55F6" w:rsidP="006B55F6">
            <w:pPr>
              <w:spacing w:after="0"/>
              <w:rPr>
                <w:rFonts w:ascii="Calibri" w:hAnsi="Calibri" w:cs="Calibri"/>
                <w:b/>
                <w:bCs/>
              </w:rPr>
            </w:pPr>
          </w:p>
        </w:tc>
        <w:tc>
          <w:tcPr>
            <w:tcW w:w="221" w:type="dxa"/>
            <w:tcBorders>
              <w:top w:val="nil"/>
              <w:left w:val="nil"/>
              <w:bottom w:val="nil"/>
              <w:right w:val="nil"/>
            </w:tcBorders>
            <w:shd w:val="clear" w:color="auto" w:fill="auto"/>
            <w:noWrap/>
            <w:vAlign w:val="bottom"/>
            <w:hideMark/>
          </w:tcPr>
          <w:p w14:paraId="2231B084" w14:textId="77777777" w:rsidR="006B55F6" w:rsidRPr="006B55F6" w:rsidRDefault="006B55F6" w:rsidP="006B55F6">
            <w:pPr>
              <w:spacing w:after="0"/>
              <w:rPr>
                <w:rFonts w:ascii="Times New Roman" w:hAnsi="Times New Roman"/>
                <w:color w:val="auto"/>
                <w:sz w:val="20"/>
                <w:szCs w:val="20"/>
              </w:rPr>
            </w:pPr>
          </w:p>
        </w:tc>
      </w:tr>
      <w:tr w:rsidR="006B55F6" w:rsidRPr="006B55F6" w14:paraId="7A15F106" w14:textId="77777777" w:rsidTr="006B55F6">
        <w:trPr>
          <w:trHeight w:val="260"/>
        </w:trPr>
        <w:tc>
          <w:tcPr>
            <w:tcW w:w="3868" w:type="dxa"/>
            <w:tcBorders>
              <w:top w:val="nil"/>
              <w:left w:val="nil"/>
              <w:bottom w:val="nil"/>
              <w:right w:val="nil"/>
            </w:tcBorders>
            <w:shd w:val="clear" w:color="auto" w:fill="auto"/>
            <w:noWrap/>
            <w:vAlign w:val="bottom"/>
            <w:hideMark/>
          </w:tcPr>
          <w:p w14:paraId="2041AB15"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 xml:space="preserve">Sub total </w:t>
            </w:r>
          </w:p>
        </w:tc>
        <w:tc>
          <w:tcPr>
            <w:tcW w:w="1424" w:type="dxa"/>
            <w:tcBorders>
              <w:top w:val="nil"/>
              <w:left w:val="nil"/>
              <w:bottom w:val="nil"/>
              <w:right w:val="nil"/>
            </w:tcBorders>
            <w:shd w:val="clear" w:color="auto" w:fill="auto"/>
            <w:noWrap/>
            <w:vAlign w:val="bottom"/>
            <w:hideMark/>
          </w:tcPr>
          <w:p w14:paraId="124D12EF"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-9,276,649</w:t>
            </w:r>
          </w:p>
        </w:tc>
        <w:tc>
          <w:tcPr>
            <w:tcW w:w="1423" w:type="dxa"/>
            <w:tcBorders>
              <w:top w:val="nil"/>
              <w:left w:val="nil"/>
              <w:bottom w:val="nil"/>
              <w:right w:val="nil"/>
            </w:tcBorders>
            <w:shd w:val="clear" w:color="auto" w:fill="auto"/>
            <w:noWrap/>
            <w:vAlign w:val="bottom"/>
            <w:hideMark/>
          </w:tcPr>
          <w:p w14:paraId="31DC072F"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-5,766,649</w:t>
            </w:r>
          </w:p>
        </w:tc>
        <w:tc>
          <w:tcPr>
            <w:tcW w:w="1478" w:type="dxa"/>
            <w:gridSpan w:val="2"/>
            <w:tcBorders>
              <w:top w:val="nil"/>
              <w:left w:val="nil"/>
              <w:bottom w:val="nil"/>
              <w:right w:val="nil"/>
            </w:tcBorders>
            <w:shd w:val="clear" w:color="auto" w:fill="auto"/>
            <w:noWrap/>
            <w:vAlign w:val="bottom"/>
            <w:hideMark/>
          </w:tcPr>
          <w:p w14:paraId="610C5DEE"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-4,176,649</w:t>
            </w:r>
          </w:p>
        </w:tc>
        <w:tc>
          <w:tcPr>
            <w:tcW w:w="221" w:type="dxa"/>
            <w:gridSpan w:val="2"/>
            <w:vAlign w:val="center"/>
            <w:hideMark/>
          </w:tcPr>
          <w:p w14:paraId="327C54B8"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66CAE7D7"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112D0A82"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07F8EA2F"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733CAF17" w14:textId="77777777" w:rsidR="006B55F6" w:rsidRPr="006B55F6" w:rsidRDefault="006B55F6" w:rsidP="006B55F6">
            <w:pPr>
              <w:spacing w:after="0"/>
              <w:rPr>
                <w:rFonts w:ascii="Times New Roman" w:hAnsi="Times New Roman"/>
                <w:color w:val="auto"/>
                <w:sz w:val="20"/>
                <w:szCs w:val="20"/>
              </w:rPr>
            </w:pPr>
          </w:p>
        </w:tc>
      </w:tr>
      <w:tr w:rsidR="006B55F6" w:rsidRPr="006B55F6" w14:paraId="241DBE15" w14:textId="77777777" w:rsidTr="006B55F6">
        <w:trPr>
          <w:trHeight w:val="310"/>
        </w:trPr>
        <w:tc>
          <w:tcPr>
            <w:tcW w:w="3868" w:type="dxa"/>
            <w:tcBorders>
              <w:top w:val="nil"/>
              <w:left w:val="nil"/>
              <w:bottom w:val="nil"/>
              <w:right w:val="nil"/>
            </w:tcBorders>
            <w:shd w:val="clear" w:color="auto" w:fill="auto"/>
            <w:noWrap/>
            <w:vAlign w:val="bottom"/>
            <w:hideMark/>
          </w:tcPr>
          <w:p w14:paraId="36CC7422" w14:textId="77777777" w:rsidR="006B55F6" w:rsidRPr="006B55F6" w:rsidRDefault="006B55F6" w:rsidP="006B55F6">
            <w:pPr>
              <w:spacing w:after="0"/>
              <w:rPr>
                <w:rFonts w:ascii="Calibri" w:hAnsi="Calibri" w:cs="Calibri"/>
                <w:b/>
                <w:bCs/>
              </w:rPr>
            </w:pPr>
            <w:r w:rsidRPr="006B55F6">
              <w:rPr>
                <w:rFonts w:ascii="Calibri" w:hAnsi="Calibri" w:cs="Calibri"/>
                <w:b/>
                <w:bCs/>
              </w:rPr>
              <w:t>Other Ringfenced reserves</w:t>
            </w:r>
          </w:p>
        </w:tc>
        <w:tc>
          <w:tcPr>
            <w:tcW w:w="1424" w:type="dxa"/>
            <w:tcBorders>
              <w:top w:val="nil"/>
              <w:left w:val="nil"/>
              <w:bottom w:val="nil"/>
              <w:right w:val="nil"/>
            </w:tcBorders>
            <w:shd w:val="clear" w:color="auto" w:fill="auto"/>
            <w:noWrap/>
            <w:vAlign w:val="bottom"/>
            <w:hideMark/>
          </w:tcPr>
          <w:p w14:paraId="5C90070E" w14:textId="77777777" w:rsidR="006B55F6" w:rsidRPr="006B55F6" w:rsidRDefault="006B55F6" w:rsidP="006B55F6">
            <w:pPr>
              <w:spacing w:after="0"/>
              <w:rPr>
                <w:rFonts w:ascii="Calibri" w:hAnsi="Calibri" w:cs="Calibri"/>
                <w:b/>
                <w:bCs/>
              </w:rPr>
            </w:pPr>
          </w:p>
        </w:tc>
        <w:tc>
          <w:tcPr>
            <w:tcW w:w="1423" w:type="dxa"/>
            <w:tcBorders>
              <w:top w:val="nil"/>
              <w:left w:val="nil"/>
              <w:bottom w:val="nil"/>
              <w:right w:val="nil"/>
            </w:tcBorders>
            <w:shd w:val="clear" w:color="auto" w:fill="auto"/>
            <w:noWrap/>
            <w:vAlign w:val="bottom"/>
            <w:hideMark/>
          </w:tcPr>
          <w:p w14:paraId="1C6B8199" w14:textId="77777777" w:rsidR="006B55F6" w:rsidRPr="006B55F6" w:rsidRDefault="006B55F6" w:rsidP="006B55F6">
            <w:pPr>
              <w:spacing w:after="0"/>
              <w:rPr>
                <w:rFonts w:ascii="Times New Roman" w:hAnsi="Times New Roman"/>
                <w:color w:val="auto"/>
                <w:sz w:val="20"/>
                <w:szCs w:val="20"/>
              </w:rPr>
            </w:pPr>
          </w:p>
        </w:tc>
        <w:tc>
          <w:tcPr>
            <w:tcW w:w="1478" w:type="dxa"/>
            <w:gridSpan w:val="2"/>
            <w:tcBorders>
              <w:top w:val="nil"/>
              <w:left w:val="nil"/>
              <w:bottom w:val="nil"/>
              <w:right w:val="nil"/>
            </w:tcBorders>
            <w:shd w:val="clear" w:color="auto" w:fill="auto"/>
            <w:noWrap/>
            <w:vAlign w:val="bottom"/>
            <w:hideMark/>
          </w:tcPr>
          <w:p w14:paraId="6357986E"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27FA999"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669A332A"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44A9B144"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D0263D5"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1FBCABF6" w14:textId="77777777" w:rsidR="006B55F6" w:rsidRPr="006B55F6" w:rsidRDefault="006B55F6" w:rsidP="006B55F6">
            <w:pPr>
              <w:spacing w:after="0"/>
              <w:rPr>
                <w:rFonts w:ascii="Times New Roman" w:hAnsi="Times New Roman"/>
                <w:color w:val="auto"/>
                <w:sz w:val="20"/>
                <w:szCs w:val="20"/>
              </w:rPr>
            </w:pPr>
          </w:p>
        </w:tc>
      </w:tr>
      <w:tr w:rsidR="006B55F6" w:rsidRPr="006B55F6" w14:paraId="43168199" w14:textId="77777777" w:rsidTr="006B55F6">
        <w:trPr>
          <w:trHeight w:val="260"/>
        </w:trPr>
        <w:tc>
          <w:tcPr>
            <w:tcW w:w="3868" w:type="dxa"/>
            <w:tcBorders>
              <w:top w:val="nil"/>
              <w:left w:val="nil"/>
              <w:bottom w:val="nil"/>
              <w:right w:val="nil"/>
            </w:tcBorders>
            <w:shd w:val="clear" w:color="auto" w:fill="auto"/>
            <w:noWrap/>
            <w:vAlign w:val="bottom"/>
            <w:hideMark/>
          </w:tcPr>
          <w:p w14:paraId="2411EA92"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 xml:space="preserve">Sub total </w:t>
            </w:r>
          </w:p>
        </w:tc>
        <w:tc>
          <w:tcPr>
            <w:tcW w:w="1424" w:type="dxa"/>
            <w:tcBorders>
              <w:top w:val="nil"/>
              <w:left w:val="nil"/>
              <w:bottom w:val="nil"/>
              <w:right w:val="nil"/>
            </w:tcBorders>
            <w:shd w:val="clear" w:color="auto" w:fill="auto"/>
            <w:noWrap/>
            <w:vAlign w:val="bottom"/>
            <w:hideMark/>
          </w:tcPr>
          <w:p w14:paraId="5E60ACB1"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-897,791</w:t>
            </w:r>
          </w:p>
        </w:tc>
        <w:tc>
          <w:tcPr>
            <w:tcW w:w="1423" w:type="dxa"/>
            <w:tcBorders>
              <w:top w:val="nil"/>
              <w:left w:val="nil"/>
              <w:bottom w:val="nil"/>
              <w:right w:val="nil"/>
            </w:tcBorders>
            <w:shd w:val="clear" w:color="auto" w:fill="auto"/>
            <w:noWrap/>
            <w:vAlign w:val="bottom"/>
            <w:hideMark/>
          </w:tcPr>
          <w:p w14:paraId="3DCDF158"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-897,791</w:t>
            </w:r>
          </w:p>
        </w:tc>
        <w:tc>
          <w:tcPr>
            <w:tcW w:w="1478" w:type="dxa"/>
            <w:gridSpan w:val="2"/>
            <w:tcBorders>
              <w:top w:val="nil"/>
              <w:left w:val="nil"/>
              <w:bottom w:val="nil"/>
              <w:right w:val="nil"/>
            </w:tcBorders>
            <w:shd w:val="clear" w:color="auto" w:fill="auto"/>
            <w:noWrap/>
            <w:vAlign w:val="bottom"/>
            <w:hideMark/>
          </w:tcPr>
          <w:p w14:paraId="20B09E27"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-897,791</w:t>
            </w:r>
          </w:p>
        </w:tc>
        <w:tc>
          <w:tcPr>
            <w:tcW w:w="221" w:type="dxa"/>
            <w:gridSpan w:val="2"/>
            <w:vAlign w:val="center"/>
            <w:hideMark/>
          </w:tcPr>
          <w:p w14:paraId="32B00833"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263751B0"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3459984"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101F28DC"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166F337A" w14:textId="77777777" w:rsidR="006B55F6" w:rsidRPr="006B55F6" w:rsidRDefault="006B55F6" w:rsidP="006B55F6">
            <w:pPr>
              <w:spacing w:after="0"/>
              <w:rPr>
                <w:rFonts w:ascii="Times New Roman" w:hAnsi="Times New Roman"/>
                <w:color w:val="auto"/>
                <w:sz w:val="20"/>
                <w:szCs w:val="20"/>
              </w:rPr>
            </w:pPr>
          </w:p>
        </w:tc>
      </w:tr>
      <w:tr w:rsidR="006B55F6" w:rsidRPr="006B55F6" w14:paraId="48F10469" w14:textId="77777777" w:rsidTr="006B55F6">
        <w:trPr>
          <w:trHeight w:val="310"/>
        </w:trPr>
        <w:tc>
          <w:tcPr>
            <w:tcW w:w="3868" w:type="dxa"/>
            <w:tcBorders>
              <w:top w:val="nil"/>
              <w:left w:val="nil"/>
              <w:bottom w:val="nil"/>
              <w:right w:val="nil"/>
            </w:tcBorders>
            <w:shd w:val="clear" w:color="auto" w:fill="auto"/>
            <w:noWrap/>
            <w:vAlign w:val="bottom"/>
            <w:hideMark/>
          </w:tcPr>
          <w:p w14:paraId="51769FDA" w14:textId="77777777" w:rsidR="006B55F6" w:rsidRPr="006B55F6" w:rsidRDefault="006B55F6" w:rsidP="006B55F6">
            <w:pPr>
              <w:spacing w:after="0"/>
              <w:rPr>
                <w:rFonts w:ascii="Calibri" w:hAnsi="Calibri" w:cs="Calibri"/>
                <w:b/>
                <w:bCs/>
              </w:rPr>
            </w:pPr>
            <w:proofErr w:type="spellStart"/>
            <w:r w:rsidRPr="006B55F6">
              <w:rPr>
                <w:rFonts w:ascii="Calibri" w:hAnsi="Calibri" w:cs="Calibri"/>
                <w:b/>
                <w:bCs/>
              </w:rPr>
              <w:t>Self Insurance</w:t>
            </w:r>
            <w:proofErr w:type="spellEnd"/>
            <w:r w:rsidRPr="006B55F6">
              <w:rPr>
                <w:rFonts w:ascii="Calibri" w:hAnsi="Calibri" w:cs="Calibri"/>
                <w:b/>
                <w:bCs/>
              </w:rPr>
              <w:t xml:space="preserve"> Fund</w:t>
            </w:r>
          </w:p>
        </w:tc>
        <w:tc>
          <w:tcPr>
            <w:tcW w:w="1424" w:type="dxa"/>
            <w:tcBorders>
              <w:top w:val="nil"/>
              <w:left w:val="nil"/>
              <w:bottom w:val="nil"/>
              <w:right w:val="nil"/>
            </w:tcBorders>
            <w:shd w:val="clear" w:color="auto" w:fill="auto"/>
            <w:noWrap/>
            <w:vAlign w:val="bottom"/>
            <w:hideMark/>
          </w:tcPr>
          <w:p w14:paraId="4EDF3CCB"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-1,164,556</w:t>
            </w:r>
          </w:p>
        </w:tc>
        <w:tc>
          <w:tcPr>
            <w:tcW w:w="1423" w:type="dxa"/>
            <w:tcBorders>
              <w:top w:val="nil"/>
              <w:left w:val="nil"/>
              <w:bottom w:val="nil"/>
              <w:right w:val="nil"/>
            </w:tcBorders>
            <w:shd w:val="clear" w:color="auto" w:fill="auto"/>
            <w:noWrap/>
            <w:vAlign w:val="bottom"/>
            <w:hideMark/>
          </w:tcPr>
          <w:p w14:paraId="652C2657"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-1,164,556</w:t>
            </w:r>
          </w:p>
        </w:tc>
        <w:tc>
          <w:tcPr>
            <w:tcW w:w="1478" w:type="dxa"/>
            <w:gridSpan w:val="2"/>
            <w:tcBorders>
              <w:top w:val="nil"/>
              <w:left w:val="nil"/>
              <w:bottom w:val="nil"/>
              <w:right w:val="nil"/>
            </w:tcBorders>
            <w:shd w:val="clear" w:color="auto" w:fill="auto"/>
            <w:noWrap/>
            <w:vAlign w:val="bottom"/>
            <w:hideMark/>
          </w:tcPr>
          <w:p w14:paraId="69C7B557"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-1,164,556</w:t>
            </w:r>
          </w:p>
        </w:tc>
        <w:tc>
          <w:tcPr>
            <w:tcW w:w="221" w:type="dxa"/>
            <w:gridSpan w:val="2"/>
            <w:vAlign w:val="center"/>
            <w:hideMark/>
          </w:tcPr>
          <w:p w14:paraId="2D84AD5D"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55FB8BB2"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2E2B0D5F"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44ACC9F5"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33CC8AAE" w14:textId="77777777" w:rsidR="006B55F6" w:rsidRPr="006B55F6" w:rsidRDefault="006B55F6" w:rsidP="006B55F6">
            <w:pPr>
              <w:spacing w:after="0"/>
              <w:rPr>
                <w:rFonts w:ascii="Times New Roman" w:hAnsi="Times New Roman"/>
                <w:color w:val="auto"/>
                <w:sz w:val="20"/>
                <w:szCs w:val="20"/>
              </w:rPr>
            </w:pPr>
          </w:p>
        </w:tc>
      </w:tr>
      <w:tr w:rsidR="006B55F6" w:rsidRPr="006B55F6" w14:paraId="15086F4D" w14:textId="77777777" w:rsidTr="006B55F6">
        <w:trPr>
          <w:trHeight w:val="270"/>
        </w:trPr>
        <w:tc>
          <w:tcPr>
            <w:tcW w:w="3868" w:type="dxa"/>
            <w:tcBorders>
              <w:top w:val="single" w:sz="4" w:space="0" w:color="auto"/>
              <w:left w:val="nil"/>
              <w:bottom w:val="double" w:sz="6" w:space="0" w:color="auto"/>
              <w:right w:val="nil"/>
            </w:tcBorders>
            <w:shd w:val="clear" w:color="000000" w:fill="D9D9D9"/>
            <w:noWrap/>
            <w:vAlign w:val="bottom"/>
            <w:hideMark/>
          </w:tcPr>
          <w:p w14:paraId="614309C2"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TOTAL GF Earmarked Reserves</w:t>
            </w:r>
          </w:p>
        </w:tc>
        <w:tc>
          <w:tcPr>
            <w:tcW w:w="1424" w:type="dxa"/>
            <w:tcBorders>
              <w:top w:val="single" w:sz="4" w:space="0" w:color="auto"/>
              <w:left w:val="nil"/>
              <w:bottom w:val="double" w:sz="6" w:space="0" w:color="auto"/>
              <w:right w:val="nil"/>
            </w:tcBorders>
            <w:shd w:val="clear" w:color="000000" w:fill="D9D9D9"/>
            <w:noWrap/>
            <w:vAlign w:val="bottom"/>
            <w:hideMark/>
          </w:tcPr>
          <w:p w14:paraId="63DA3A9B"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-49,038,359</w:t>
            </w:r>
          </w:p>
        </w:tc>
        <w:tc>
          <w:tcPr>
            <w:tcW w:w="1423" w:type="dxa"/>
            <w:tcBorders>
              <w:top w:val="single" w:sz="4" w:space="0" w:color="auto"/>
              <w:left w:val="nil"/>
              <w:bottom w:val="double" w:sz="6" w:space="0" w:color="auto"/>
              <w:right w:val="nil"/>
            </w:tcBorders>
            <w:shd w:val="clear" w:color="000000" w:fill="D9D9D9"/>
            <w:noWrap/>
            <w:vAlign w:val="bottom"/>
            <w:hideMark/>
          </w:tcPr>
          <w:p w14:paraId="46073210"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-33,794,732</w:t>
            </w:r>
          </w:p>
        </w:tc>
        <w:tc>
          <w:tcPr>
            <w:tcW w:w="1478" w:type="dxa"/>
            <w:gridSpan w:val="2"/>
            <w:tcBorders>
              <w:top w:val="single" w:sz="4" w:space="0" w:color="auto"/>
              <w:left w:val="nil"/>
              <w:bottom w:val="double" w:sz="6" w:space="0" w:color="auto"/>
              <w:right w:val="nil"/>
            </w:tcBorders>
            <w:shd w:val="clear" w:color="000000" w:fill="D9D9D9"/>
            <w:noWrap/>
            <w:vAlign w:val="bottom"/>
            <w:hideMark/>
          </w:tcPr>
          <w:p w14:paraId="1D185CEB"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-28,464,732</w:t>
            </w:r>
          </w:p>
        </w:tc>
        <w:tc>
          <w:tcPr>
            <w:tcW w:w="221" w:type="dxa"/>
            <w:gridSpan w:val="2"/>
            <w:vAlign w:val="center"/>
            <w:hideMark/>
          </w:tcPr>
          <w:p w14:paraId="4AB15353"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0FD67A96"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2298165"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7D55BC4E"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5D25FA84" w14:textId="77777777" w:rsidR="006B55F6" w:rsidRPr="006B55F6" w:rsidRDefault="006B55F6" w:rsidP="006B55F6">
            <w:pPr>
              <w:spacing w:after="0"/>
              <w:rPr>
                <w:rFonts w:ascii="Times New Roman" w:hAnsi="Times New Roman"/>
                <w:color w:val="auto"/>
                <w:sz w:val="20"/>
                <w:szCs w:val="20"/>
              </w:rPr>
            </w:pPr>
          </w:p>
        </w:tc>
      </w:tr>
      <w:tr w:rsidR="006B55F6" w:rsidRPr="006B55F6" w14:paraId="7B934AA6" w14:textId="77777777" w:rsidTr="006B55F6">
        <w:trPr>
          <w:trHeight w:val="270"/>
        </w:trPr>
        <w:tc>
          <w:tcPr>
            <w:tcW w:w="3868" w:type="dxa"/>
            <w:tcBorders>
              <w:top w:val="nil"/>
              <w:left w:val="nil"/>
              <w:bottom w:val="nil"/>
              <w:right w:val="nil"/>
            </w:tcBorders>
            <w:shd w:val="clear" w:color="auto" w:fill="auto"/>
            <w:noWrap/>
            <w:vAlign w:val="bottom"/>
            <w:hideMark/>
          </w:tcPr>
          <w:p w14:paraId="7FA28C2D" w14:textId="77777777" w:rsidR="006B55F6" w:rsidRPr="006B55F6" w:rsidRDefault="006B55F6" w:rsidP="006B55F6">
            <w:pPr>
              <w:spacing w:after="0"/>
              <w:jc w:val="right"/>
              <w:rPr>
                <w:rFonts w:ascii="Calibri" w:hAnsi="Calibri" w:cs="Calibri"/>
                <w:b/>
                <w:bCs/>
                <w:sz w:val="20"/>
                <w:szCs w:val="20"/>
              </w:rPr>
            </w:pPr>
          </w:p>
        </w:tc>
        <w:tc>
          <w:tcPr>
            <w:tcW w:w="1424" w:type="dxa"/>
            <w:tcBorders>
              <w:top w:val="nil"/>
              <w:left w:val="nil"/>
              <w:bottom w:val="nil"/>
              <w:right w:val="nil"/>
            </w:tcBorders>
            <w:shd w:val="clear" w:color="auto" w:fill="auto"/>
            <w:noWrap/>
            <w:vAlign w:val="bottom"/>
            <w:hideMark/>
          </w:tcPr>
          <w:p w14:paraId="19E884D3" w14:textId="77777777" w:rsidR="006B55F6" w:rsidRPr="006B55F6" w:rsidRDefault="006B55F6" w:rsidP="006B55F6">
            <w:pPr>
              <w:spacing w:after="0"/>
              <w:rPr>
                <w:rFonts w:ascii="Times New Roman" w:hAnsi="Times New Roman"/>
                <w:color w:val="auto"/>
                <w:sz w:val="20"/>
                <w:szCs w:val="20"/>
              </w:rPr>
            </w:pPr>
          </w:p>
        </w:tc>
        <w:tc>
          <w:tcPr>
            <w:tcW w:w="1423" w:type="dxa"/>
            <w:tcBorders>
              <w:top w:val="nil"/>
              <w:left w:val="nil"/>
              <w:bottom w:val="nil"/>
              <w:right w:val="nil"/>
            </w:tcBorders>
            <w:shd w:val="clear" w:color="auto" w:fill="auto"/>
            <w:noWrap/>
            <w:vAlign w:val="bottom"/>
            <w:hideMark/>
          </w:tcPr>
          <w:p w14:paraId="083C4A7A" w14:textId="77777777" w:rsidR="006B55F6" w:rsidRPr="006B55F6" w:rsidRDefault="006B55F6" w:rsidP="006B55F6">
            <w:pPr>
              <w:spacing w:after="0"/>
              <w:jc w:val="right"/>
              <w:rPr>
                <w:rFonts w:ascii="Calibri" w:hAnsi="Calibri" w:cs="Calibri"/>
                <w:sz w:val="20"/>
                <w:szCs w:val="20"/>
              </w:rPr>
            </w:pPr>
            <w:r w:rsidRPr="006B55F6">
              <w:rPr>
                <w:rFonts w:ascii="Calibri" w:hAnsi="Calibri" w:cs="Calibri"/>
                <w:sz w:val="20"/>
                <w:szCs w:val="20"/>
              </w:rPr>
              <w:t>0</w:t>
            </w:r>
          </w:p>
        </w:tc>
        <w:tc>
          <w:tcPr>
            <w:tcW w:w="1478" w:type="dxa"/>
            <w:gridSpan w:val="2"/>
            <w:tcBorders>
              <w:top w:val="nil"/>
              <w:left w:val="nil"/>
              <w:bottom w:val="nil"/>
              <w:right w:val="nil"/>
            </w:tcBorders>
            <w:shd w:val="clear" w:color="auto" w:fill="auto"/>
            <w:noWrap/>
            <w:vAlign w:val="bottom"/>
            <w:hideMark/>
          </w:tcPr>
          <w:p w14:paraId="0C01EA2A" w14:textId="77777777" w:rsidR="006B55F6" w:rsidRPr="006B55F6" w:rsidRDefault="006B55F6" w:rsidP="006B55F6">
            <w:pPr>
              <w:spacing w:after="0"/>
              <w:jc w:val="right"/>
              <w:rPr>
                <w:rFonts w:ascii="Calibri" w:hAnsi="Calibri" w:cs="Calibri"/>
                <w:sz w:val="20"/>
                <w:szCs w:val="20"/>
              </w:rPr>
            </w:pPr>
            <w:r w:rsidRPr="006B55F6">
              <w:rPr>
                <w:rFonts w:ascii="Calibri" w:hAnsi="Calibri" w:cs="Calibri"/>
                <w:sz w:val="20"/>
                <w:szCs w:val="20"/>
              </w:rPr>
              <w:t>0</w:t>
            </w:r>
          </w:p>
        </w:tc>
        <w:tc>
          <w:tcPr>
            <w:tcW w:w="221" w:type="dxa"/>
            <w:gridSpan w:val="2"/>
            <w:vAlign w:val="center"/>
            <w:hideMark/>
          </w:tcPr>
          <w:p w14:paraId="4080F771"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2EA18E02"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06D1A20B"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3424621"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10893A6E" w14:textId="77777777" w:rsidR="006B55F6" w:rsidRPr="006B55F6" w:rsidRDefault="006B55F6" w:rsidP="006B55F6">
            <w:pPr>
              <w:spacing w:after="0"/>
              <w:rPr>
                <w:rFonts w:ascii="Times New Roman" w:hAnsi="Times New Roman"/>
                <w:color w:val="auto"/>
                <w:sz w:val="20"/>
                <w:szCs w:val="20"/>
              </w:rPr>
            </w:pPr>
          </w:p>
        </w:tc>
      </w:tr>
      <w:tr w:rsidR="006B55F6" w:rsidRPr="006B55F6" w14:paraId="2BB1FB33" w14:textId="77777777" w:rsidTr="006B55F6">
        <w:trPr>
          <w:trHeight w:val="270"/>
        </w:trPr>
        <w:tc>
          <w:tcPr>
            <w:tcW w:w="3868" w:type="dxa"/>
            <w:tcBorders>
              <w:top w:val="single" w:sz="4" w:space="0" w:color="auto"/>
              <w:left w:val="nil"/>
              <w:bottom w:val="double" w:sz="6" w:space="0" w:color="auto"/>
              <w:right w:val="nil"/>
            </w:tcBorders>
            <w:shd w:val="clear" w:color="000000" w:fill="D9D9D9"/>
            <w:noWrap/>
            <w:vAlign w:val="bottom"/>
            <w:hideMark/>
          </w:tcPr>
          <w:p w14:paraId="5CA3C773"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TOTAL HRA Earmarked Reserves</w:t>
            </w:r>
          </w:p>
        </w:tc>
        <w:tc>
          <w:tcPr>
            <w:tcW w:w="1424" w:type="dxa"/>
            <w:tcBorders>
              <w:top w:val="single" w:sz="4" w:space="0" w:color="auto"/>
              <w:left w:val="nil"/>
              <w:bottom w:val="double" w:sz="6" w:space="0" w:color="auto"/>
              <w:right w:val="nil"/>
            </w:tcBorders>
            <w:shd w:val="clear" w:color="000000" w:fill="D9D9D9"/>
            <w:noWrap/>
            <w:vAlign w:val="bottom"/>
            <w:hideMark/>
          </w:tcPr>
          <w:p w14:paraId="12277E71"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-11,418,797</w:t>
            </w:r>
          </w:p>
        </w:tc>
        <w:tc>
          <w:tcPr>
            <w:tcW w:w="1423" w:type="dxa"/>
            <w:tcBorders>
              <w:top w:val="single" w:sz="4" w:space="0" w:color="auto"/>
              <w:left w:val="nil"/>
              <w:bottom w:val="double" w:sz="6" w:space="0" w:color="auto"/>
              <w:right w:val="nil"/>
            </w:tcBorders>
            <w:shd w:val="clear" w:color="000000" w:fill="D9D9D9"/>
            <w:noWrap/>
            <w:vAlign w:val="bottom"/>
            <w:hideMark/>
          </w:tcPr>
          <w:p w14:paraId="102A6B9A"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-10,418,797</w:t>
            </w:r>
          </w:p>
        </w:tc>
        <w:tc>
          <w:tcPr>
            <w:tcW w:w="1478" w:type="dxa"/>
            <w:gridSpan w:val="2"/>
            <w:tcBorders>
              <w:top w:val="single" w:sz="4" w:space="0" w:color="auto"/>
              <w:left w:val="nil"/>
              <w:bottom w:val="double" w:sz="6" w:space="0" w:color="auto"/>
              <w:right w:val="nil"/>
            </w:tcBorders>
            <w:shd w:val="clear" w:color="000000" w:fill="D9D9D9"/>
            <w:noWrap/>
            <w:vAlign w:val="bottom"/>
            <w:hideMark/>
          </w:tcPr>
          <w:p w14:paraId="466EAF6A"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-9,418,797</w:t>
            </w:r>
          </w:p>
        </w:tc>
        <w:tc>
          <w:tcPr>
            <w:tcW w:w="221" w:type="dxa"/>
            <w:gridSpan w:val="2"/>
            <w:vAlign w:val="center"/>
            <w:hideMark/>
          </w:tcPr>
          <w:p w14:paraId="1F4C3F64"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4B28968D"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6F24740A"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64849526"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4D5AB3D6" w14:textId="77777777" w:rsidR="006B55F6" w:rsidRPr="006B55F6" w:rsidRDefault="006B55F6" w:rsidP="006B55F6">
            <w:pPr>
              <w:spacing w:after="0"/>
              <w:rPr>
                <w:rFonts w:ascii="Times New Roman" w:hAnsi="Times New Roman"/>
                <w:color w:val="auto"/>
                <w:sz w:val="20"/>
                <w:szCs w:val="20"/>
              </w:rPr>
            </w:pPr>
          </w:p>
        </w:tc>
      </w:tr>
      <w:tr w:rsidR="006B55F6" w:rsidRPr="006B55F6" w14:paraId="637A6FC3" w14:textId="77777777" w:rsidTr="006B55F6">
        <w:trPr>
          <w:trHeight w:val="270"/>
        </w:trPr>
        <w:tc>
          <w:tcPr>
            <w:tcW w:w="3868" w:type="dxa"/>
            <w:tcBorders>
              <w:top w:val="nil"/>
              <w:left w:val="nil"/>
              <w:bottom w:val="nil"/>
              <w:right w:val="nil"/>
            </w:tcBorders>
            <w:shd w:val="clear" w:color="000000" w:fill="D9D9D9"/>
            <w:noWrap/>
            <w:vAlign w:val="bottom"/>
            <w:hideMark/>
          </w:tcPr>
          <w:p w14:paraId="65FEA0ED"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 </w:t>
            </w:r>
          </w:p>
        </w:tc>
        <w:tc>
          <w:tcPr>
            <w:tcW w:w="1424" w:type="dxa"/>
            <w:tcBorders>
              <w:top w:val="nil"/>
              <w:left w:val="nil"/>
              <w:bottom w:val="nil"/>
              <w:right w:val="nil"/>
            </w:tcBorders>
            <w:shd w:val="clear" w:color="000000" w:fill="D9D9D9"/>
            <w:noWrap/>
            <w:vAlign w:val="bottom"/>
            <w:hideMark/>
          </w:tcPr>
          <w:p w14:paraId="74709649"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 </w:t>
            </w:r>
          </w:p>
        </w:tc>
        <w:tc>
          <w:tcPr>
            <w:tcW w:w="1423" w:type="dxa"/>
            <w:tcBorders>
              <w:top w:val="nil"/>
              <w:left w:val="nil"/>
              <w:bottom w:val="nil"/>
              <w:right w:val="nil"/>
            </w:tcBorders>
            <w:shd w:val="clear" w:color="000000" w:fill="D9D9D9"/>
            <w:noWrap/>
            <w:vAlign w:val="bottom"/>
            <w:hideMark/>
          </w:tcPr>
          <w:p w14:paraId="1E4267D5"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 </w:t>
            </w:r>
          </w:p>
        </w:tc>
        <w:tc>
          <w:tcPr>
            <w:tcW w:w="1478" w:type="dxa"/>
            <w:gridSpan w:val="2"/>
            <w:tcBorders>
              <w:top w:val="nil"/>
              <w:left w:val="nil"/>
              <w:bottom w:val="nil"/>
              <w:right w:val="nil"/>
            </w:tcBorders>
            <w:shd w:val="clear" w:color="000000" w:fill="D9D9D9"/>
            <w:noWrap/>
            <w:vAlign w:val="bottom"/>
            <w:hideMark/>
          </w:tcPr>
          <w:p w14:paraId="74960CD9"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 </w:t>
            </w:r>
          </w:p>
        </w:tc>
        <w:tc>
          <w:tcPr>
            <w:tcW w:w="221" w:type="dxa"/>
            <w:gridSpan w:val="2"/>
            <w:vAlign w:val="center"/>
            <w:hideMark/>
          </w:tcPr>
          <w:p w14:paraId="3B77E30F"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014E849B"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C41CCBB"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4357F209"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1FED08E1" w14:textId="77777777" w:rsidR="006B55F6" w:rsidRPr="006B55F6" w:rsidRDefault="006B55F6" w:rsidP="006B55F6">
            <w:pPr>
              <w:spacing w:after="0"/>
              <w:rPr>
                <w:rFonts w:ascii="Times New Roman" w:hAnsi="Times New Roman"/>
                <w:color w:val="auto"/>
                <w:sz w:val="20"/>
                <w:szCs w:val="20"/>
              </w:rPr>
            </w:pPr>
          </w:p>
        </w:tc>
      </w:tr>
      <w:tr w:rsidR="006B55F6" w:rsidRPr="006B55F6" w14:paraId="056498CE" w14:textId="77777777" w:rsidTr="006B55F6">
        <w:trPr>
          <w:trHeight w:val="270"/>
        </w:trPr>
        <w:tc>
          <w:tcPr>
            <w:tcW w:w="3868" w:type="dxa"/>
            <w:tcBorders>
              <w:top w:val="single" w:sz="4" w:space="0" w:color="auto"/>
              <w:left w:val="nil"/>
              <w:bottom w:val="double" w:sz="6" w:space="0" w:color="auto"/>
              <w:right w:val="nil"/>
            </w:tcBorders>
            <w:shd w:val="clear" w:color="000000" w:fill="D9D9D9"/>
            <w:noWrap/>
            <w:vAlign w:val="bottom"/>
            <w:hideMark/>
          </w:tcPr>
          <w:p w14:paraId="6B1E6560"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TOTAL ALL earmarked reserves</w:t>
            </w:r>
          </w:p>
        </w:tc>
        <w:tc>
          <w:tcPr>
            <w:tcW w:w="1424" w:type="dxa"/>
            <w:tcBorders>
              <w:top w:val="single" w:sz="4" w:space="0" w:color="auto"/>
              <w:left w:val="nil"/>
              <w:bottom w:val="double" w:sz="6" w:space="0" w:color="auto"/>
              <w:right w:val="nil"/>
            </w:tcBorders>
            <w:shd w:val="clear" w:color="000000" w:fill="D9D9D9"/>
            <w:noWrap/>
            <w:vAlign w:val="bottom"/>
            <w:hideMark/>
          </w:tcPr>
          <w:p w14:paraId="08241667"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-60,457,156</w:t>
            </w:r>
          </w:p>
        </w:tc>
        <w:tc>
          <w:tcPr>
            <w:tcW w:w="1423" w:type="dxa"/>
            <w:tcBorders>
              <w:top w:val="single" w:sz="4" w:space="0" w:color="auto"/>
              <w:left w:val="nil"/>
              <w:bottom w:val="double" w:sz="6" w:space="0" w:color="auto"/>
              <w:right w:val="nil"/>
            </w:tcBorders>
            <w:shd w:val="clear" w:color="000000" w:fill="D9D9D9"/>
            <w:noWrap/>
            <w:vAlign w:val="bottom"/>
            <w:hideMark/>
          </w:tcPr>
          <w:p w14:paraId="6B7C3113"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-44,213,529</w:t>
            </w:r>
          </w:p>
        </w:tc>
        <w:tc>
          <w:tcPr>
            <w:tcW w:w="1478" w:type="dxa"/>
            <w:gridSpan w:val="2"/>
            <w:tcBorders>
              <w:top w:val="single" w:sz="4" w:space="0" w:color="auto"/>
              <w:left w:val="nil"/>
              <w:bottom w:val="double" w:sz="6" w:space="0" w:color="auto"/>
              <w:right w:val="nil"/>
            </w:tcBorders>
            <w:shd w:val="clear" w:color="000000" w:fill="D9D9D9"/>
            <w:noWrap/>
            <w:vAlign w:val="bottom"/>
            <w:hideMark/>
          </w:tcPr>
          <w:p w14:paraId="1673A6EF"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-37,883,529</w:t>
            </w:r>
          </w:p>
        </w:tc>
        <w:tc>
          <w:tcPr>
            <w:tcW w:w="221" w:type="dxa"/>
            <w:gridSpan w:val="2"/>
            <w:vAlign w:val="center"/>
            <w:hideMark/>
          </w:tcPr>
          <w:p w14:paraId="6DD7CA35"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0A75339E"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4D49D84A"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24FB68F3"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5BF5F27D" w14:textId="77777777" w:rsidR="006B55F6" w:rsidRPr="006B55F6" w:rsidRDefault="006B55F6" w:rsidP="006B55F6">
            <w:pPr>
              <w:spacing w:after="0"/>
              <w:rPr>
                <w:rFonts w:ascii="Times New Roman" w:hAnsi="Times New Roman"/>
                <w:color w:val="auto"/>
                <w:sz w:val="20"/>
                <w:szCs w:val="20"/>
              </w:rPr>
            </w:pPr>
          </w:p>
        </w:tc>
      </w:tr>
      <w:tr w:rsidR="006B55F6" w:rsidRPr="006B55F6" w14:paraId="01708EEC" w14:textId="77777777" w:rsidTr="006B55F6">
        <w:trPr>
          <w:trHeight w:val="270"/>
        </w:trPr>
        <w:tc>
          <w:tcPr>
            <w:tcW w:w="3868" w:type="dxa"/>
            <w:tcBorders>
              <w:top w:val="nil"/>
              <w:left w:val="nil"/>
              <w:bottom w:val="nil"/>
              <w:right w:val="nil"/>
            </w:tcBorders>
            <w:shd w:val="clear" w:color="auto" w:fill="auto"/>
            <w:noWrap/>
            <w:vAlign w:val="bottom"/>
            <w:hideMark/>
          </w:tcPr>
          <w:p w14:paraId="7F46BFD1" w14:textId="77777777" w:rsidR="006B55F6" w:rsidRPr="006B55F6" w:rsidRDefault="006B55F6" w:rsidP="006B55F6">
            <w:pPr>
              <w:spacing w:after="0"/>
              <w:jc w:val="right"/>
              <w:rPr>
                <w:rFonts w:ascii="Calibri" w:hAnsi="Calibri" w:cs="Calibri"/>
                <w:b/>
                <w:bCs/>
                <w:sz w:val="20"/>
                <w:szCs w:val="20"/>
              </w:rPr>
            </w:pPr>
          </w:p>
        </w:tc>
        <w:tc>
          <w:tcPr>
            <w:tcW w:w="1424" w:type="dxa"/>
            <w:tcBorders>
              <w:top w:val="nil"/>
              <w:left w:val="nil"/>
              <w:bottom w:val="nil"/>
              <w:right w:val="nil"/>
            </w:tcBorders>
            <w:shd w:val="clear" w:color="auto" w:fill="auto"/>
            <w:noWrap/>
            <w:vAlign w:val="bottom"/>
            <w:hideMark/>
          </w:tcPr>
          <w:p w14:paraId="5839C2D7" w14:textId="77777777" w:rsidR="006B55F6" w:rsidRPr="006B55F6" w:rsidRDefault="006B55F6" w:rsidP="006B55F6">
            <w:pPr>
              <w:spacing w:after="0"/>
              <w:rPr>
                <w:rFonts w:ascii="Times New Roman" w:hAnsi="Times New Roman"/>
                <w:color w:val="auto"/>
                <w:sz w:val="20"/>
                <w:szCs w:val="20"/>
              </w:rPr>
            </w:pPr>
          </w:p>
        </w:tc>
        <w:tc>
          <w:tcPr>
            <w:tcW w:w="1423" w:type="dxa"/>
            <w:tcBorders>
              <w:top w:val="nil"/>
              <w:left w:val="nil"/>
              <w:bottom w:val="nil"/>
              <w:right w:val="nil"/>
            </w:tcBorders>
            <w:shd w:val="clear" w:color="auto" w:fill="auto"/>
            <w:noWrap/>
            <w:vAlign w:val="bottom"/>
            <w:hideMark/>
          </w:tcPr>
          <w:p w14:paraId="3AF48D25" w14:textId="77777777" w:rsidR="006B55F6" w:rsidRPr="006B55F6" w:rsidRDefault="006B55F6" w:rsidP="006B55F6">
            <w:pPr>
              <w:spacing w:after="0"/>
              <w:rPr>
                <w:rFonts w:ascii="Times New Roman" w:hAnsi="Times New Roman"/>
                <w:color w:val="auto"/>
                <w:sz w:val="20"/>
                <w:szCs w:val="20"/>
              </w:rPr>
            </w:pPr>
          </w:p>
        </w:tc>
        <w:tc>
          <w:tcPr>
            <w:tcW w:w="1478" w:type="dxa"/>
            <w:gridSpan w:val="2"/>
            <w:tcBorders>
              <w:top w:val="nil"/>
              <w:left w:val="nil"/>
              <w:bottom w:val="nil"/>
              <w:right w:val="nil"/>
            </w:tcBorders>
            <w:shd w:val="clear" w:color="auto" w:fill="auto"/>
            <w:noWrap/>
            <w:vAlign w:val="bottom"/>
            <w:hideMark/>
          </w:tcPr>
          <w:p w14:paraId="52D79284"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31CB622"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6F840A92"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796632C"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1F676AA0"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5D723538" w14:textId="77777777" w:rsidR="006B55F6" w:rsidRPr="006B55F6" w:rsidRDefault="006B55F6" w:rsidP="006B55F6">
            <w:pPr>
              <w:spacing w:after="0"/>
              <w:rPr>
                <w:rFonts w:ascii="Times New Roman" w:hAnsi="Times New Roman"/>
                <w:color w:val="auto"/>
                <w:sz w:val="20"/>
                <w:szCs w:val="20"/>
              </w:rPr>
            </w:pPr>
          </w:p>
        </w:tc>
      </w:tr>
      <w:tr w:rsidR="006B55F6" w:rsidRPr="006B55F6" w14:paraId="754B94EE" w14:textId="77777777" w:rsidTr="006B55F6">
        <w:trPr>
          <w:trHeight w:val="260"/>
        </w:trPr>
        <w:tc>
          <w:tcPr>
            <w:tcW w:w="3868" w:type="dxa"/>
            <w:tcBorders>
              <w:top w:val="nil"/>
              <w:left w:val="nil"/>
              <w:bottom w:val="nil"/>
              <w:right w:val="nil"/>
            </w:tcBorders>
            <w:shd w:val="clear" w:color="auto" w:fill="auto"/>
            <w:noWrap/>
            <w:vAlign w:val="bottom"/>
            <w:hideMark/>
          </w:tcPr>
          <w:p w14:paraId="5627A496" w14:textId="610066E1"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General Fund Working Bal</w:t>
            </w:r>
            <w:r>
              <w:rPr>
                <w:rFonts w:ascii="Calibri" w:hAnsi="Calibri" w:cs="Calibri"/>
                <w:b/>
                <w:bCs/>
                <w:sz w:val="20"/>
                <w:szCs w:val="20"/>
              </w:rPr>
              <w:t>a</w:t>
            </w:r>
            <w:r w:rsidRPr="006B55F6">
              <w:rPr>
                <w:rFonts w:ascii="Calibri" w:hAnsi="Calibri" w:cs="Calibri"/>
                <w:b/>
                <w:bCs/>
                <w:sz w:val="20"/>
                <w:szCs w:val="20"/>
              </w:rPr>
              <w:t>nce</w:t>
            </w:r>
          </w:p>
        </w:tc>
        <w:tc>
          <w:tcPr>
            <w:tcW w:w="1424" w:type="dxa"/>
            <w:tcBorders>
              <w:top w:val="nil"/>
              <w:left w:val="nil"/>
              <w:bottom w:val="nil"/>
              <w:right w:val="nil"/>
            </w:tcBorders>
            <w:shd w:val="clear" w:color="auto" w:fill="auto"/>
            <w:noWrap/>
            <w:vAlign w:val="bottom"/>
            <w:hideMark/>
          </w:tcPr>
          <w:p w14:paraId="49E1F8D1"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-4,000,000</w:t>
            </w:r>
          </w:p>
        </w:tc>
        <w:tc>
          <w:tcPr>
            <w:tcW w:w="1423" w:type="dxa"/>
            <w:tcBorders>
              <w:top w:val="nil"/>
              <w:left w:val="nil"/>
              <w:bottom w:val="nil"/>
              <w:right w:val="nil"/>
            </w:tcBorders>
            <w:shd w:val="clear" w:color="auto" w:fill="auto"/>
            <w:noWrap/>
            <w:vAlign w:val="bottom"/>
            <w:hideMark/>
          </w:tcPr>
          <w:p w14:paraId="7D13458F"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-4,000,000</w:t>
            </w:r>
          </w:p>
        </w:tc>
        <w:tc>
          <w:tcPr>
            <w:tcW w:w="1478" w:type="dxa"/>
            <w:gridSpan w:val="2"/>
            <w:tcBorders>
              <w:top w:val="nil"/>
              <w:left w:val="nil"/>
              <w:bottom w:val="nil"/>
              <w:right w:val="nil"/>
            </w:tcBorders>
            <w:shd w:val="clear" w:color="auto" w:fill="auto"/>
            <w:noWrap/>
            <w:vAlign w:val="bottom"/>
            <w:hideMark/>
          </w:tcPr>
          <w:p w14:paraId="676084C5"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-4,000,000</w:t>
            </w:r>
          </w:p>
        </w:tc>
        <w:tc>
          <w:tcPr>
            <w:tcW w:w="221" w:type="dxa"/>
            <w:gridSpan w:val="2"/>
            <w:vAlign w:val="center"/>
            <w:hideMark/>
          </w:tcPr>
          <w:p w14:paraId="7CD26349"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2E37F30A"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3738280"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7162475B"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62586C9C" w14:textId="77777777" w:rsidR="006B55F6" w:rsidRPr="006B55F6" w:rsidRDefault="006B55F6" w:rsidP="006B55F6">
            <w:pPr>
              <w:spacing w:after="0"/>
              <w:rPr>
                <w:rFonts w:ascii="Times New Roman" w:hAnsi="Times New Roman"/>
                <w:color w:val="auto"/>
                <w:sz w:val="20"/>
                <w:szCs w:val="20"/>
              </w:rPr>
            </w:pPr>
          </w:p>
        </w:tc>
      </w:tr>
      <w:tr w:rsidR="006B55F6" w:rsidRPr="006B55F6" w14:paraId="694AA176" w14:textId="77777777" w:rsidTr="006B55F6">
        <w:trPr>
          <w:trHeight w:val="260"/>
        </w:trPr>
        <w:tc>
          <w:tcPr>
            <w:tcW w:w="3868" w:type="dxa"/>
            <w:tcBorders>
              <w:top w:val="nil"/>
              <w:left w:val="nil"/>
              <w:bottom w:val="nil"/>
              <w:right w:val="nil"/>
            </w:tcBorders>
            <w:shd w:val="clear" w:color="auto" w:fill="auto"/>
            <w:noWrap/>
            <w:vAlign w:val="bottom"/>
            <w:hideMark/>
          </w:tcPr>
          <w:p w14:paraId="6F9D5CC1" w14:textId="77777777" w:rsidR="006B55F6" w:rsidRPr="006B55F6" w:rsidRDefault="006B55F6" w:rsidP="006B55F6">
            <w:pPr>
              <w:spacing w:after="0"/>
              <w:jc w:val="right"/>
              <w:rPr>
                <w:rFonts w:ascii="Calibri" w:hAnsi="Calibri" w:cs="Calibri"/>
                <w:b/>
                <w:bCs/>
                <w:sz w:val="20"/>
                <w:szCs w:val="20"/>
              </w:rPr>
            </w:pPr>
          </w:p>
        </w:tc>
        <w:tc>
          <w:tcPr>
            <w:tcW w:w="1424" w:type="dxa"/>
            <w:tcBorders>
              <w:top w:val="nil"/>
              <w:left w:val="nil"/>
              <w:bottom w:val="nil"/>
              <w:right w:val="nil"/>
            </w:tcBorders>
            <w:shd w:val="clear" w:color="auto" w:fill="auto"/>
            <w:noWrap/>
            <w:vAlign w:val="bottom"/>
            <w:hideMark/>
          </w:tcPr>
          <w:p w14:paraId="02FC4058" w14:textId="77777777" w:rsidR="006B55F6" w:rsidRPr="006B55F6" w:rsidRDefault="006B55F6" w:rsidP="006B55F6">
            <w:pPr>
              <w:spacing w:after="0"/>
              <w:rPr>
                <w:rFonts w:ascii="Times New Roman" w:hAnsi="Times New Roman"/>
                <w:color w:val="auto"/>
                <w:sz w:val="20"/>
                <w:szCs w:val="20"/>
              </w:rPr>
            </w:pPr>
          </w:p>
        </w:tc>
        <w:tc>
          <w:tcPr>
            <w:tcW w:w="1423" w:type="dxa"/>
            <w:tcBorders>
              <w:top w:val="nil"/>
              <w:left w:val="nil"/>
              <w:bottom w:val="nil"/>
              <w:right w:val="nil"/>
            </w:tcBorders>
            <w:shd w:val="clear" w:color="auto" w:fill="auto"/>
            <w:noWrap/>
            <w:vAlign w:val="bottom"/>
            <w:hideMark/>
          </w:tcPr>
          <w:p w14:paraId="223D168F" w14:textId="77777777" w:rsidR="006B55F6" w:rsidRPr="006B55F6" w:rsidRDefault="006B55F6" w:rsidP="006B55F6">
            <w:pPr>
              <w:spacing w:after="0"/>
              <w:rPr>
                <w:rFonts w:ascii="Times New Roman" w:hAnsi="Times New Roman"/>
                <w:color w:val="auto"/>
                <w:sz w:val="20"/>
                <w:szCs w:val="20"/>
              </w:rPr>
            </w:pPr>
          </w:p>
        </w:tc>
        <w:tc>
          <w:tcPr>
            <w:tcW w:w="1478" w:type="dxa"/>
            <w:gridSpan w:val="2"/>
            <w:tcBorders>
              <w:top w:val="nil"/>
              <w:left w:val="nil"/>
              <w:bottom w:val="nil"/>
              <w:right w:val="nil"/>
            </w:tcBorders>
            <w:shd w:val="clear" w:color="auto" w:fill="auto"/>
            <w:noWrap/>
            <w:vAlign w:val="bottom"/>
            <w:hideMark/>
          </w:tcPr>
          <w:p w14:paraId="1C973456"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6FBF7D30"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20329240"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4F2165CF"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4F4B97C1"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2209B3FC" w14:textId="77777777" w:rsidR="006B55F6" w:rsidRPr="006B55F6" w:rsidRDefault="006B55F6" w:rsidP="006B55F6">
            <w:pPr>
              <w:spacing w:after="0"/>
              <w:rPr>
                <w:rFonts w:ascii="Times New Roman" w:hAnsi="Times New Roman"/>
                <w:color w:val="auto"/>
                <w:sz w:val="20"/>
                <w:szCs w:val="20"/>
              </w:rPr>
            </w:pPr>
          </w:p>
        </w:tc>
      </w:tr>
      <w:tr w:rsidR="006B55F6" w:rsidRPr="006B55F6" w14:paraId="635F7B0C" w14:textId="77777777" w:rsidTr="006B55F6">
        <w:trPr>
          <w:trHeight w:val="260"/>
        </w:trPr>
        <w:tc>
          <w:tcPr>
            <w:tcW w:w="3868" w:type="dxa"/>
            <w:tcBorders>
              <w:top w:val="nil"/>
              <w:left w:val="nil"/>
              <w:bottom w:val="nil"/>
              <w:right w:val="nil"/>
            </w:tcBorders>
            <w:shd w:val="clear" w:color="auto" w:fill="auto"/>
            <w:noWrap/>
            <w:vAlign w:val="bottom"/>
            <w:hideMark/>
          </w:tcPr>
          <w:p w14:paraId="6F2120AE" w14:textId="77777777" w:rsidR="006B55F6" w:rsidRPr="006B55F6" w:rsidRDefault="006B55F6" w:rsidP="006B55F6">
            <w:pPr>
              <w:spacing w:after="0"/>
              <w:rPr>
                <w:rFonts w:ascii="Calibri" w:hAnsi="Calibri" w:cs="Calibri"/>
                <w:b/>
                <w:bCs/>
                <w:sz w:val="20"/>
                <w:szCs w:val="20"/>
              </w:rPr>
            </w:pPr>
            <w:r w:rsidRPr="006B55F6">
              <w:rPr>
                <w:rFonts w:ascii="Calibri" w:hAnsi="Calibri" w:cs="Calibri"/>
                <w:b/>
                <w:bCs/>
                <w:sz w:val="20"/>
                <w:szCs w:val="20"/>
              </w:rPr>
              <w:t>HRA Working Balance</w:t>
            </w:r>
          </w:p>
        </w:tc>
        <w:tc>
          <w:tcPr>
            <w:tcW w:w="1424" w:type="dxa"/>
            <w:tcBorders>
              <w:top w:val="nil"/>
              <w:left w:val="nil"/>
              <w:bottom w:val="nil"/>
              <w:right w:val="nil"/>
            </w:tcBorders>
            <w:shd w:val="clear" w:color="auto" w:fill="auto"/>
            <w:noWrap/>
            <w:vAlign w:val="bottom"/>
            <w:hideMark/>
          </w:tcPr>
          <w:p w14:paraId="64EF93DE"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-3,500,000</w:t>
            </w:r>
          </w:p>
        </w:tc>
        <w:tc>
          <w:tcPr>
            <w:tcW w:w="1423" w:type="dxa"/>
            <w:tcBorders>
              <w:top w:val="nil"/>
              <w:left w:val="nil"/>
              <w:bottom w:val="nil"/>
              <w:right w:val="nil"/>
            </w:tcBorders>
            <w:shd w:val="clear" w:color="auto" w:fill="auto"/>
            <w:noWrap/>
            <w:vAlign w:val="bottom"/>
            <w:hideMark/>
          </w:tcPr>
          <w:p w14:paraId="560891C6"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-3,500,000</w:t>
            </w:r>
          </w:p>
        </w:tc>
        <w:tc>
          <w:tcPr>
            <w:tcW w:w="1478" w:type="dxa"/>
            <w:gridSpan w:val="2"/>
            <w:tcBorders>
              <w:top w:val="nil"/>
              <w:left w:val="nil"/>
              <w:bottom w:val="nil"/>
              <w:right w:val="nil"/>
            </w:tcBorders>
            <w:shd w:val="clear" w:color="auto" w:fill="auto"/>
            <w:noWrap/>
            <w:vAlign w:val="bottom"/>
            <w:hideMark/>
          </w:tcPr>
          <w:p w14:paraId="21CD48E0" w14:textId="77777777" w:rsidR="006B55F6" w:rsidRPr="006B55F6" w:rsidRDefault="006B55F6" w:rsidP="006B55F6">
            <w:pPr>
              <w:spacing w:after="0"/>
              <w:jc w:val="right"/>
              <w:rPr>
                <w:rFonts w:ascii="Calibri" w:hAnsi="Calibri" w:cs="Calibri"/>
                <w:b/>
                <w:bCs/>
                <w:sz w:val="20"/>
                <w:szCs w:val="20"/>
              </w:rPr>
            </w:pPr>
            <w:r w:rsidRPr="006B55F6">
              <w:rPr>
                <w:rFonts w:ascii="Calibri" w:hAnsi="Calibri" w:cs="Calibri"/>
                <w:b/>
                <w:bCs/>
                <w:sz w:val="20"/>
                <w:szCs w:val="20"/>
              </w:rPr>
              <w:t>-3,600,000</w:t>
            </w:r>
          </w:p>
        </w:tc>
        <w:tc>
          <w:tcPr>
            <w:tcW w:w="221" w:type="dxa"/>
            <w:gridSpan w:val="2"/>
            <w:vAlign w:val="center"/>
            <w:hideMark/>
          </w:tcPr>
          <w:p w14:paraId="5B717B16"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2B8BE04C"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30288D44" w14:textId="77777777" w:rsidR="006B55F6" w:rsidRPr="006B55F6" w:rsidRDefault="006B55F6" w:rsidP="006B55F6">
            <w:pPr>
              <w:spacing w:after="0"/>
              <w:rPr>
                <w:rFonts w:ascii="Times New Roman" w:hAnsi="Times New Roman"/>
                <w:color w:val="auto"/>
                <w:sz w:val="20"/>
                <w:szCs w:val="20"/>
              </w:rPr>
            </w:pPr>
          </w:p>
        </w:tc>
        <w:tc>
          <w:tcPr>
            <w:tcW w:w="221" w:type="dxa"/>
            <w:gridSpan w:val="2"/>
            <w:vAlign w:val="center"/>
            <w:hideMark/>
          </w:tcPr>
          <w:p w14:paraId="1EC03263" w14:textId="77777777" w:rsidR="006B55F6" w:rsidRPr="006B55F6" w:rsidRDefault="006B55F6" w:rsidP="006B55F6">
            <w:pPr>
              <w:spacing w:after="0"/>
              <w:rPr>
                <w:rFonts w:ascii="Times New Roman" w:hAnsi="Times New Roman"/>
                <w:color w:val="auto"/>
                <w:sz w:val="20"/>
                <w:szCs w:val="20"/>
              </w:rPr>
            </w:pPr>
          </w:p>
        </w:tc>
        <w:tc>
          <w:tcPr>
            <w:tcW w:w="221" w:type="dxa"/>
            <w:vAlign w:val="center"/>
            <w:hideMark/>
          </w:tcPr>
          <w:p w14:paraId="4E59BAC8" w14:textId="77777777" w:rsidR="006B55F6" w:rsidRPr="006B55F6" w:rsidRDefault="006B55F6" w:rsidP="006B55F6">
            <w:pPr>
              <w:spacing w:after="0"/>
              <w:rPr>
                <w:rFonts w:ascii="Times New Roman" w:hAnsi="Times New Roman"/>
                <w:color w:val="auto"/>
                <w:sz w:val="20"/>
                <w:szCs w:val="20"/>
              </w:rPr>
            </w:pPr>
          </w:p>
        </w:tc>
      </w:tr>
      <w:tr w:rsidR="004305A1" w:rsidRPr="004305A1" w14:paraId="037D9A2F" w14:textId="77777777" w:rsidTr="006B55F6">
        <w:trPr>
          <w:trHeight w:val="310"/>
        </w:trPr>
        <w:tc>
          <w:tcPr>
            <w:tcW w:w="3865" w:type="dxa"/>
            <w:tcBorders>
              <w:top w:val="nil"/>
              <w:left w:val="nil"/>
              <w:bottom w:val="nil"/>
              <w:right w:val="nil"/>
            </w:tcBorders>
            <w:shd w:val="clear" w:color="auto" w:fill="auto"/>
            <w:noWrap/>
            <w:vAlign w:val="bottom"/>
            <w:hideMark/>
          </w:tcPr>
          <w:p w14:paraId="0EA33E22" w14:textId="77777777" w:rsidR="004305A1" w:rsidRPr="004305A1" w:rsidRDefault="004305A1" w:rsidP="006B55F6">
            <w:pPr>
              <w:spacing w:after="0"/>
              <w:rPr>
                <w:rFonts w:ascii="Calibri" w:hAnsi="Calibri" w:cs="Calibri"/>
                <w:b/>
                <w:bCs/>
                <w:sz w:val="20"/>
                <w:szCs w:val="20"/>
              </w:rPr>
            </w:pPr>
          </w:p>
        </w:tc>
        <w:tc>
          <w:tcPr>
            <w:tcW w:w="1422" w:type="dxa"/>
            <w:tcBorders>
              <w:top w:val="nil"/>
              <w:left w:val="nil"/>
              <w:bottom w:val="nil"/>
              <w:right w:val="nil"/>
            </w:tcBorders>
            <w:shd w:val="clear" w:color="auto" w:fill="auto"/>
            <w:noWrap/>
            <w:vAlign w:val="bottom"/>
            <w:hideMark/>
          </w:tcPr>
          <w:p w14:paraId="27935EA4" w14:textId="77777777" w:rsidR="004305A1" w:rsidRPr="004305A1" w:rsidRDefault="004305A1" w:rsidP="004305A1">
            <w:pPr>
              <w:spacing w:after="0"/>
              <w:rPr>
                <w:rFonts w:ascii="Times New Roman" w:hAnsi="Times New Roman"/>
                <w:color w:val="auto"/>
                <w:sz w:val="20"/>
                <w:szCs w:val="20"/>
              </w:rPr>
            </w:pPr>
          </w:p>
        </w:tc>
        <w:tc>
          <w:tcPr>
            <w:tcW w:w="1423" w:type="dxa"/>
            <w:tcBorders>
              <w:top w:val="nil"/>
              <w:left w:val="nil"/>
              <w:bottom w:val="nil"/>
              <w:right w:val="nil"/>
            </w:tcBorders>
            <w:shd w:val="clear" w:color="auto" w:fill="auto"/>
            <w:noWrap/>
            <w:vAlign w:val="bottom"/>
            <w:hideMark/>
          </w:tcPr>
          <w:p w14:paraId="5BA28D92" w14:textId="77777777" w:rsidR="004305A1" w:rsidRPr="004305A1" w:rsidRDefault="004305A1" w:rsidP="004305A1">
            <w:pPr>
              <w:spacing w:after="0"/>
              <w:rPr>
                <w:rFonts w:ascii="Times New Roman" w:hAnsi="Times New Roman"/>
                <w:color w:val="auto"/>
                <w:sz w:val="20"/>
                <w:szCs w:val="20"/>
              </w:rPr>
            </w:pPr>
          </w:p>
        </w:tc>
        <w:tc>
          <w:tcPr>
            <w:tcW w:w="1468" w:type="dxa"/>
            <w:tcBorders>
              <w:top w:val="nil"/>
              <w:left w:val="nil"/>
              <w:bottom w:val="nil"/>
              <w:right w:val="nil"/>
            </w:tcBorders>
            <w:shd w:val="clear" w:color="auto" w:fill="auto"/>
            <w:noWrap/>
            <w:vAlign w:val="bottom"/>
            <w:hideMark/>
          </w:tcPr>
          <w:p w14:paraId="061E0BA2" w14:textId="77777777" w:rsidR="004305A1" w:rsidRPr="004305A1" w:rsidRDefault="004305A1" w:rsidP="004305A1">
            <w:pPr>
              <w:spacing w:after="0"/>
              <w:rPr>
                <w:rFonts w:ascii="Times New Roman" w:hAnsi="Times New Roman"/>
                <w:color w:val="auto"/>
                <w:sz w:val="20"/>
                <w:szCs w:val="20"/>
              </w:rPr>
            </w:pPr>
          </w:p>
        </w:tc>
        <w:tc>
          <w:tcPr>
            <w:tcW w:w="222" w:type="dxa"/>
            <w:gridSpan w:val="2"/>
            <w:vAlign w:val="center"/>
            <w:hideMark/>
          </w:tcPr>
          <w:p w14:paraId="49B1076A" w14:textId="77777777" w:rsidR="004305A1" w:rsidRPr="004305A1" w:rsidRDefault="004305A1" w:rsidP="004305A1">
            <w:pPr>
              <w:spacing w:after="0"/>
              <w:rPr>
                <w:rFonts w:ascii="Times New Roman" w:hAnsi="Times New Roman"/>
                <w:color w:val="auto"/>
                <w:sz w:val="20"/>
                <w:szCs w:val="20"/>
              </w:rPr>
            </w:pPr>
          </w:p>
        </w:tc>
        <w:tc>
          <w:tcPr>
            <w:tcW w:w="222" w:type="dxa"/>
            <w:gridSpan w:val="2"/>
            <w:vAlign w:val="center"/>
            <w:hideMark/>
          </w:tcPr>
          <w:p w14:paraId="277644E0" w14:textId="77777777" w:rsidR="004305A1" w:rsidRPr="004305A1" w:rsidRDefault="004305A1" w:rsidP="004305A1">
            <w:pPr>
              <w:spacing w:after="0"/>
              <w:rPr>
                <w:rFonts w:ascii="Times New Roman" w:hAnsi="Times New Roman"/>
                <w:color w:val="auto"/>
                <w:sz w:val="20"/>
                <w:szCs w:val="20"/>
              </w:rPr>
            </w:pPr>
          </w:p>
        </w:tc>
        <w:tc>
          <w:tcPr>
            <w:tcW w:w="222" w:type="dxa"/>
            <w:gridSpan w:val="2"/>
            <w:vAlign w:val="center"/>
            <w:hideMark/>
          </w:tcPr>
          <w:p w14:paraId="7F3D1745" w14:textId="77777777" w:rsidR="004305A1" w:rsidRPr="004305A1" w:rsidRDefault="004305A1" w:rsidP="004305A1">
            <w:pPr>
              <w:spacing w:after="0"/>
              <w:rPr>
                <w:rFonts w:ascii="Times New Roman" w:hAnsi="Times New Roman"/>
                <w:color w:val="auto"/>
                <w:sz w:val="20"/>
                <w:szCs w:val="20"/>
              </w:rPr>
            </w:pPr>
          </w:p>
        </w:tc>
        <w:tc>
          <w:tcPr>
            <w:tcW w:w="222" w:type="dxa"/>
            <w:gridSpan w:val="2"/>
            <w:vAlign w:val="center"/>
            <w:hideMark/>
          </w:tcPr>
          <w:p w14:paraId="65B2A05C" w14:textId="77777777" w:rsidR="004305A1" w:rsidRPr="004305A1" w:rsidRDefault="004305A1" w:rsidP="004305A1">
            <w:pPr>
              <w:spacing w:after="0"/>
              <w:rPr>
                <w:rFonts w:ascii="Times New Roman" w:hAnsi="Times New Roman"/>
                <w:color w:val="auto"/>
                <w:sz w:val="20"/>
                <w:szCs w:val="20"/>
              </w:rPr>
            </w:pPr>
          </w:p>
        </w:tc>
        <w:tc>
          <w:tcPr>
            <w:tcW w:w="222" w:type="dxa"/>
            <w:gridSpan w:val="2"/>
            <w:vAlign w:val="center"/>
            <w:hideMark/>
          </w:tcPr>
          <w:p w14:paraId="10BED1A6" w14:textId="77777777" w:rsidR="004305A1" w:rsidRPr="004305A1" w:rsidRDefault="004305A1" w:rsidP="004305A1">
            <w:pPr>
              <w:spacing w:after="0"/>
              <w:rPr>
                <w:rFonts w:ascii="Times New Roman" w:hAnsi="Times New Roman"/>
                <w:color w:val="auto"/>
                <w:sz w:val="20"/>
                <w:szCs w:val="20"/>
              </w:rPr>
            </w:pPr>
          </w:p>
        </w:tc>
      </w:tr>
    </w:tbl>
    <w:p w14:paraId="000721A2" w14:textId="77777777" w:rsidR="009F361D" w:rsidRPr="002327AF" w:rsidRDefault="00D7393B" w:rsidP="004305A1">
      <w:pPr>
        <w:pStyle w:val="bParagraphtext"/>
        <w:ind w:left="360"/>
        <w:rPr>
          <w:b/>
        </w:rPr>
      </w:pPr>
      <w:r w:rsidRPr="002327AF">
        <w:rPr>
          <w:b/>
        </w:rPr>
        <w:t>Notes</w:t>
      </w:r>
      <w:r w:rsidR="009F361D" w:rsidRPr="002327AF">
        <w:rPr>
          <w:b/>
        </w:rPr>
        <w:t xml:space="preserve"> </w:t>
      </w:r>
    </w:p>
    <w:p w14:paraId="2CA1F66E" w14:textId="10CD19B2" w:rsidR="009F361D" w:rsidRPr="002327AF" w:rsidRDefault="00D7393B" w:rsidP="004305A1">
      <w:pPr>
        <w:pStyle w:val="Bulletpoints"/>
        <w:tabs>
          <w:tab w:val="clear" w:pos="1134"/>
          <w:tab w:val="left" w:pos="426"/>
        </w:tabs>
        <w:ind w:left="851" w:hanging="425"/>
      </w:pPr>
      <w:r w:rsidRPr="002327AF">
        <w:t>R</w:t>
      </w:r>
      <w:r w:rsidR="009F361D" w:rsidRPr="002327AF">
        <w:t>ing fenced accounts funded by third parties which must be repaid if not used for the purpose specified, e.g.</w:t>
      </w:r>
      <w:r w:rsidR="00192624" w:rsidRPr="002327AF">
        <w:t xml:space="preserve"> </w:t>
      </w:r>
      <w:r w:rsidR="009F361D" w:rsidRPr="002327AF">
        <w:t>Salix Fund</w:t>
      </w:r>
      <w:r w:rsidR="002327AF" w:rsidRPr="002327AF">
        <w:t xml:space="preserve">s and Section </w:t>
      </w:r>
      <w:proofErr w:type="gramStart"/>
      <w:r w:rsidR="002327AF" w:rsidRPr="002327AF">
        <w:t xml:space="preserve">106 </w:t>
      </w:r>
      <w:r w:rsidR="009F361D" w:rsidRPr="002327AF">
        <w:t xml:space="preserve"> </w:t>
      </w:r>
      <w:r w:rsidR="002327AF" w:rsidRPr="002327AF">
        <w:t>commuted</w:t>
      </w:r>
      <w:proofErr w:type="gramEnd"/>
      <w:r w:rsidR="002327AF" w:rsidRPr="002327AF">
        <w:t xml:space="preserve"> sums</w:t>
      </w:r>
      <w:r w:rsidR="009F361D" w:rsidRPr="002327AF">
        <w:t xml:space="preserve"> </w:t>
      </w:r>
    </w:p>
    <w:p w14:paraId="5C77A4BD" w14:textId="275F77C4" w:rsidR="009F361D" w:rsidRPr="002327AF" w:rsidRDefault="00D7393B" w:rsidP="004305A1">
      <w:pPr>
        <w:pStyle w:val="Bulletpoints"/>
        <w:tabs>
          <w:tab w:val="clear" w:pos="1134"/>
          <w:tab w:val="left" w:pos="426"/>
        </w:tabs>
        <w:ind w:left="851" w:hanging="425"/>
      </w:pPr>
      <w:r w:rsidRPr="002327AF">
        <w:t xml:space="preserve">Other </w:t>
      </w:r>
      <w:proofErr w:type="gramStart"/>
      <w:r w:rsidR="00192624" w:rsidRPr="002327AF">
        <w:t>ring fenced</w:t>
      </w:r>
      <w:proofErr w:type="gramEnd"/>
      <w:r w:rsidRPr="002327AF">
        <w:t xml:space="preserve"> accounts -</w:t>
      </w:r>
      <w:r w:rsidR="009F361D" w:rsidRPr="002327AF">
        <w:t>reserves which have a statutory limitation on their use; such as the Taxi Licensing Reserve</w:t>
      </w:r>
      <w:r w:rsidR="002327AF" w:rsidRPr="002327AF">
        <w:t>, grants reserved</w:t>
      </w:r>
      <w:r w:rsidR="009F361D" w:rsidRPr="002327AF">
        <w:t xml:space="preserve"> and the HMO Licensing Reserve</w:t>
      </w:r>
    </w:p>
    <w:p w14:paraId="74F7D8C6" w14:textId="77777777" w:rsidR="00D7393B" w:rsidRPr="002327AF" w:rsidRDefault="00D7393B" w:rsidP="004305A1">
      <w:pPr>
        <w:pStyle w:val="Bulletpoints"/>
        <w:tabs>
          <w:tab w:val="clear" w:pos="1134"/>
          <w:tab w:val="left" w:pos="426"/>
        </w:tabs>
        <w:ind w:left="851" w:hanging="425"/>
      </w:pPr>
      <w:r w:rsidRPr="002327AF">
        <w:t xml:space="preserve">Other earmarked reserves which have been earmarked but are largely </w:t>
      </w:r>
      <w:proofErr w:type="gramStart"/>
      <w:r w:rsidRPr="002327AF">
        <w:t>unspent</w:t>
      </w:r>
      <w:proofErr w:type="gramEnd"/>
    </w:p>
    <w:p w14:paraId="63441645" w14:textId="66BF9450" w:rsidR="009F361D" w:rsidRPr="002327AF" w:rsidRDefault="002327AF" w:rsidP="004305A1">
      <w:pPr>
        <w:pStyle w:val="Bulletpoints"/>
        <w:tabs>
          <w:tab w:val="clear" w:pos="1134"/>
          <w:tab w:val="left" w:pos="426"/>
        </w:tabs>
        <w:ind w:left="851" w:hanging="425"/>
      </w:pPr>
      <w:r w:rsidRPr="002327AF">
        <w:t>A</w:t>
      </w:r>
      <w:r w:rsidR="009F361D" w:rsidRPr="002327AF">
        <w:t>ccounts which it is considered prudent to set aside for a specific purpose such as the Insurance Fund</w:t>
      </w:r>
    </w:p>
    <w:p w14:paraId="5EA99C66" w14:textId="54AB8B6A" w:rsidR="002327AF" w:rsidRPr="00CD199C" w:rsidRDefault="002327AF" w:rsidP="00CD199C">
      <w:pPr>
        <w:pStyle w:val="Bulletpoints"/>
        <w:tabs>
          <w:tab w:val="clear" w:pos="1134"/>
          <w:tab w:val="left" w:pos="426"/>
        </w:tabs>
        <w:ind w:left="851" w:hanging="425"/>
      </w:pPr>
      <w:r w:rsidRPr="00CD199C">
        <w:t xml:space="preserve">Working balances – are funds which are not ringfenced for any </w:t>
      </w:r>
      <w:proofErr w:type="gramStart"/>
      <w:r w:rsidRPr="00CD199C">
        <w:t>purpose</w:t>
      </w:r>
      <w:proofErr w:type="gramEnd"/>
      <w:r w:rsidRPr="00CD199C">
        <w:t xml:space="preserve"> </w:t>
      </w:r>
    </w:p>
    <w:p w14:paraId="03833F8B" w14:textId="23DA0D02" w:rsidR="00D7393B" w:rsidRPr="00CD199C" w:rsidRDefault="00316F9B" w:rsidP="00CD199C">
      <w:pPr>
        <w:pStyle w:val="Bulletpoints"/>
        <w:numPr>
          <w:ilvl w:val="0"/>
          <w:numId w:val="12"/>
        </w:numPr>
      </w:pPr>
      <w:r w:rsidRPr="00CD199C">
        <w:t xml:space="preserve">Table 1 indicates that General Fund </w:t>
      </w:r>
      <w:proofErr w:type="spellStart"/>
      <w:r w:rsidR="00C914DF" w:rsidRPr="00CD199C">
        <w:t>unringfenced</w:t>
      </w:r>
      <w:proofErr w:type="spellEnd"/>
      <w:r w:rsidR="00C914DF" w:rsidRPr="00CD199C">
        <w:t xml:space="preserve"> </w:t>
      </w:r>
      <w:r w:rsidRPr="00CD199C">
        <w:t>earmarked reserves and balances will reduce from £</w:t>
      </w:r>
      <w:r w:rsidR="00C914DF" w:rsidRPr="00CD199C">
        <w:t>42</w:t>
      </w:r>
      <w:r w:rsidRPr="00CD199C">
        <w:t xml:space="preserve"> million at 31-3-202</w:t>
      </w:r>
      <w:r w:rsidR="006E2E5C" w:rsidRPr="00CD199C">
        <w:t>3</w:t>
      </w:r>
      <w:r w:rsidRPr="00CD199C">
        <w:t xml:space="preserve"> to an estimated level at 31-3-202</w:t>
      </w:r>
      <w:r w:rsidR="006E2E5C" w:rsidRPr="00CD199C">
        <w:t>4</w:t>
      </w:r>
      <w:r w:rsidRPr="00CD199C">
        <w:t xml:space="preserve"> of £</w:t>
      </w:r>
      <w:r w:rsidR="00C914DF" w:rsidRPr="00CD199C">
        <w:t>30</w:t>
      </w:r>
      <w:r w:rsidRPr="00CD199C">
        <w:t xml:space="preserve"> million and then to an estimated £</w:t>
      </w:r>
      <w:r w:rsidR="00C914DF" w:rsidRPr="00CD199C">
        <w:t>26</w:t>
      </w:r>
      <w:r w:rsidRPr="00CD199C">
        <w:t xml:space="preserve"> million by 31-3-202</w:t>
      </w:r>
      <w:r w:rsidR="006E2E5C" w:rsidRPr="00CD199C">
        <w:t>5</w:t>
      </w:r>
      <w:r w:rsidRPr="00CD199C">
        <w:t xml:space="preserve">. </w:t>
      </w:r>
      <w:r w:rsidR="00D7393B" w:rsidRPr="00CD199C">
        <w:t xml:space="preserve">Other points worthy of </w:t>
      </w:r>
      <w:proofErr w:type="gramStart"/>
      <w:r w:rsidR="00D7393B" w:rsidRPr="00CD199C">
        <w:t>note :</w:t>
      </w:r>
      <w:proofErr w:type="gramEnd"/>
    </w:p>
    <w:p w14:paraId="5140856F" w14:textId="62498AC3" w:rsidR="00697968" w:rsidRPr="00CD199C" w:rsidRDefault="00697968" w:rsidP="00CD199C">
      <w:pPr>
        <w:pStyle w:val="Bulletpoints"/>
        <w:numPr>
          <w:ilvl w:val="0"/>
          <w:numId w:val="7"/>
        </w:numPr>
        <w:tabs>
          <w:tab w:val="clear" w:pos="1134"/>
        </w:tabs>
        <w:ind w:left="851" w:hanging="425"/>
      </w:pPr>
      <w:r w:rsidRPr="00CD199C">
        <w:rPr>
          <w:b/>
        </w:rPr>
        <w:t>Ringfenced reserves</w:t>
      </w:r>
      <w:r w:rsidRPr="00CD199C">
        <w:t xml:space="preserve"> relating to grants, licenses, HMO, </w:t>
      </w:r>
      <w:proofErr w:type="gramStart"/>
      <w:r w:rsidRPr="00CD199C">
        <w:t>S</w:t>
      </w:r>
      <w:r w:rsidR="001C534B" w:rsidRPr="00CD199C">
        <w:t>al</w:t>
      </w:r>
      <w:r w:rsidRPr="00CD199C">
        <w:t>ix</w:t>
      </w:r>
      <w:proofErr w:type="gramEnd"/>
      <w:r w:rsidRPr="00CD199C">
        <w:t xml:space="preserve"> and Commuted sums can only be</w:t>
      </w:r>
      <w:r w:rsidR="00C914DF" w:rsidRPr="00CD199C">
        <w:t xml:space="preserve"> used for the specific purposes.</w:t>
      </w:r>
    </w:p>
    <w:p w14:paraId="7CAC49DD" w14:textId="24B78B87" w:rsidR="00316F9B" w:rsidRPr="00C914DF" w:rsidRDefault="00316F9B" w:rsidP="00316F9B">
      <w:pPr>
        <w:pStyle w:val="Bulletpoints"/>
        <w:numPr>
          <w:ilvl w:val="0"/>
          <w:numId w:val="7"/>
        </w:numPr>
        <w:tabs>
          <w:tab w:val="clear" w:pos="1134"/>
        </w:tabs>
        <w:ind w:left="851" w:hanging="425"/>
      </w:pPr>
      <w:proofErr w:type="spellStart"/>
      <w:r w:rsidRPr="00C914DF">
        <w:rPr>
          <w:b/>
        </w:rPr>
        <w:t>Unringfenced</w:t>
      </w:r>
      <w:proofErr w:type="spellEnd"/>
      <w:r w:rsidRPr="00C914DF">
        <w:rPr>
          <w:b/>
        </w:rPr>
        <w:t xml:space="preserve"> earmarked reserves</w:t>
      </w:r>
      <w:r w:rsidRPr="00C914DF">
        <w:t xml:space="preserve"> </w:t>
      </w:r>
      <w:r w:rsidR="006B55F6" w:rsidRPr="00C914DF">
        <w:t xml:space="preserve">– such reserves are generally held for specific purposes to cover risk </w:t>
      </w:r>
      <w:r w:rsidR="00C914DF">
        <w:t xml:space="preserve">but are not ringfenced. Reserves in this category include </w:t>
      </w:r>
      <w:r w:rsidR="006B55F6" w:rsidRPr="00C914DF">
        <w:t xml:space="preserve">the employee reserve or NNDR </w:t>
      </w:r>
      <w:r w:rsidR="00C914DF">
        <w:t xml:space="preserve">which protect the revenue account against swings in spend, </w:t>
      </w:r>
      <w:r w:rsidR="006B55F6" w:rsidRPr="00C914DF">
        <w:t xml:space="preserve">reserve or to help finance schemes such as the ‘capital financing reserve’ or ‘vehicle replacement reserve’. The use of any of </w:t>
      </w:r>
      <w:r w:rsidR="006B55F6" w:rsidRPr="00C914DF">
        <w:lastRenderedPageBreak/>
        <w:t xml:space="preserve">these reserves other than for the purpose they have been established will have a financial consequence and will reduce the financial resilience of the Council. These reserves </w:t>
      </w:r>
      <w:r w:rsidRPr="00C914DF">
        <w:t>General Fund Revenue deficits are estimated to reduce to around £</w:t>
      </w:r>
      <w:r w:rsidR="00C914DF" w:rsidRPr="00C914DF">
        <w:t>22</w:t>
      </w:r>
      <w:r w:rsidRPr="00C914DF">
        <w:t xml:space="preserve"> million by 31</w:t>
      </w:r>
      <w:r w:rsidRPr="00C914DF">
        <w:rPr>
          <w:vertAlign w:val="superscript"/>
        </w:rPr>
        <w:t>st</w:t>
      </w:r>
      <w:r w:rsidRPr="00C914DF">
        <w:t xml:space="preserve"> March 202</w:t>
      </w:r>
      <w:r w:rsidR="00C914DF" w:rsidRPr="00C914DF">
        <w:t>5</w:t>
      </w:r>
      <w:r w:rsidRPr="00C914DF">
        <w:t xml:space="preserve"> </w:t>
      </w:r>
      <w:r w:rsidR="00DF374F">
        <w:t>including</w:t>
      </w:r>
      <w:r w:rsidR="00C914DF" w:rsidRPr="00C914DF">
        <w:t xml:space="preserve"> £6million in the risk reserve to be used over the remaining MTFP </w:t>
      </w:r>
      <w:proofErr w:type="gramStart"/>
      <w:r w:rsidR="00C914DF" w:rsidRPr="00C914DF">
        <w:t>period</w:t>
      </w:r>
      <w:proofErr w:type="gramEnd"/>
    </w:p>
    <w:p w14:paraId="3A71B587" w14:textId="7B0C1BBF" w:rsidR="006B7C76" w:rsidRPr="00C914DF" w:rsidRDefault="006B7C76" w:rsidP="00C914DF">
      <w:pPr>
        <w:pStyle w:val="Bulletpoints"/>
        <w:numPr>
          <w:ilvl w:val="0"/>
          <w:numId w:val="7"/>
        </w:numPr>
        <w:tabs>
          <w:tab w:val="clear" w:pos="1134"/>
        </w:tabs>
        <w:ind w:left="851" w:hanging="425"/>
      </w:pPr>
      <w:r w:rsidRPr="00C914DF">
        <w:t>The Councils General Fund working balance remains at around £3.8 million through</w:t>
      </w:r>
      <w:r w:rsidR="00316F9B" w:rsidRPr="00C914DF">
        <w:t>out</w:t>
      </w:r>
      <w:r w:rsidRPr="00C914DF">
        <w:t xml:space="preserve"> the period of the MTFS</w:t>
      </w:r>
      <w:r w:rsidR="00DF374F">
        <w:t xml:space="preserve">, this represents the only unfettered reserve held by the Council. </w:t>
      </w:r>
    </w:p>
    <w:p w14:paraId="374DD8CE" w14:textId="15656270" w:rsidR="009F361D" w:rsidRPr="00C914DF" w:rsidRDefault="006B7C76" w:rsidP="00C914DF">
      <w:pPr>
        <w:pStyle w:val="Bulletpoints"/>
        <w:numPr>
          <w:ilvl w:val="0"/>
          <w:numId w:val="7"/>
        </w:numPr>
        <w:tabs>
          <w:tab w:val="clear" w:pos="1134"/>
        </w:tabs>
        <w:ind w:left="851" w:hanging="425"/>
      </w:pPr>
      <w:r w:rsidRPr="00C914DF">
        <w:t xml:space="preserve">The HRA working </w:t>
      </w:r>
      <w:r w:rsidR="001218A2" w:rsidRPr="00C914DF">
        <w:t xml:space="preserve">balance </w:t>
      </w:r>
      <w:r w:rsidRPr="00C914DF">
        <w:t xml:space="preserve">is estimated at around </w:t>
      </w:r>
      <w:r w:rsidR="00316F9B" w:rsidRPr="00C914DF">
        <w:t xml:space="preserve">£4 m </w:t>
      </w:r>
      <w:r w:rsidR="009F361D" w:rsidRPr="00C914DF">
        <w:t xml:space="preserve">representing around </w:t>
      </w:r>
      <w:r w:rsidR="001218A2" w:rsidRPr="00C914DF">
        <w:t>8</w:t>
      </w:r>
      <w:r w:rsidR="009F361D" w:rsidRPr="00C914DF">
        <w:t xml:space="preserve">% of gross rental </w:t>
      </w:r>
      <w:r w:rsidR="001218A2" w:rsidRPr="00C914DF">
        <w:t>income</w:t>
      </w:r>
      <w:r w:rsidRPr="00C914DF">
        <w:t>, sufficient to meet any unexpected financial issues that may arise.</w:t>
      </w:r>
    </w:p>
    <w:p w14:paraId="40832BBB" w14:textId="77777777" w:rsidR="00CB7331" w:rsidRPr="00C914DF" w:rsidRDefault="00CB7331" w:rsidP="00C914DF">
      <w:pPr>
        <w:pStyle w:val="Heading1"/>
      </w:pPr>
      <w:r w:rsidRPr="00C914DF">
        <w:t>Financial Resilience</w:t>
      </w:r>
    </w:p>
    <w:p w14:paraId="0331770F" w14:textId="30EC6B13" w:rsidR="009F361D" w:rsidRPr="00C914DF" w:rsidRDefault="009F361D" w:rsidP="00C914DF">
      <w:pPr>
        <w:pStyle w:val="ListParagraph"/>
        <w:numPr>
          <w:ilvl w:val="0"/>
          <w:numId w:val="12"/>
        </w:numPr>
      </w:pPr>
      <w:r w:rsidRPr="00C914DF">
        <w:t xml:space="preserve">The consequence of not keeping a prudent level of reserves can be significant.  In the event of a serious problem, or a series of events </w:t>
      </w:r>
      <w:r w:rsidR="00CC7BA7" w:rsidRPr="00C914DF">
        <w:t xml:space="preserve">can have a significant impact on the Councils finances </w:t>
      </w:r>
      <w:r w:rsidRPr="00C914DF">
        <w:t>such as a downturn in</w:t>
      </w:r>
      <w:r w:rsidR="00CC7BA7" w:rsidRPr="00C914DF">
        <w:t xml:space="preserve"> the financial position of ODS or </w:t>
      </w:r>
      <w:r w:rsidRPr="00C914DF">
        <w:t xml:space="preserve">reduced activity in OCHL </w:t>
      </w:r>
      <w:r w:rsidR="00CC7BA7" w:rsidRPr="00C914DF">
        <w:t xml:space="preserve">as has been recently seen this can have </w:t>
      </w:r>
      <w:r w:rsidRPr="00C914DF">
        <w:t>or a reduction in the value of the Council’s property investments it could lead to less return for the Council and potentially a deficit posit</w:t>
      </w:r>
      <w:r w:rsidR="00697968" w:rsidRPr="00C914DF">
        <w:t>i</w:t>
      </w:r>
      <w:r w:rsidRPr="00C914DF">
        <w:t xml:space="preserve">on. In the absence of reserves the Council would be forced to cut expenditure in a damaging or arbitrary way. </w:t>
      </w:r>
    </w:p>
    <w:p w14:paraId="1BB130ED" w14:textId="61901F16" w:rsidR="009F361D" w:rsidRPr="00C914DF" w:rsidRDefault="009F361D" w:rsidP="00C914DF">
      <w:pPr>
        <w:pStyle w:val="bParagraphtext"/>
        <w:numPr>
          <w:ilvl w:val="0"/>
          <w:numId w:val="12"/>
        </w:numPr>
        <w:tabs>
          <w:tab w:val="clear" w:pos="426"/>
        </w:tabs>
        <w:ind w:left="426" w:hanging="426"/>
      </w:pPr>
      <w:r w:rsidRPr="00C914DF">
        <w:t xml:space="preserve">The Chartered Institute of Public and Finance and Accountancy (CIPFA) has stated that there should be no imposed limit on the level or nature of balances required to be held by an individual Council. However, for a district council, where changes to a few areas can have a disproportionate impact, a higher percentage of level of reserves to net expenditure is desirable. </w:t>
      </w:r>
      <w:r w:rsidR="00F80592" w:rsidRPr="00C914DF">
        <w:t>The level of balances to be held is largely a matter of judgement for the Councils Section 151 Officer based on local circumstances such as the level of activity in the council, the risk appetite of the council, the council</w:t>
      </w:r>
      <w:r w:rsidR="001D188E" w:rsidRPr="00C914DF">
        <w:t>’</w:t>
      </w:r>
      <w:r w:rsidR="00F80592" w:rsidRPr="00C914DF">
        <w:t xml:space="preserve">s reliance on income streams and gross expenditure. </w:t>
      </w:r>
    </w:p>
    <w:p w14:paraId="4A3A49A3" w14:textId="65BC6EA7" w:rsidR="00706293" w:rsidRPr="005E6DAB" w:rsidRDefault="00CB7331" w:rsidP="00C914DF">
      <w:pPr>
        <w:pStyle w:val="bParagraphtext"/>
        <w:numPr>
          <w:ilvl w:val="0"/>
          <w:numId w:val="12"/>
        </w:numPr>
        <w:tabs>
          <w:tab w:val="clear" w:pos="426"/>
        </w:tabs>
        <w:ind w:left="426" w:hanging="426"/>
      </w:pPr>
      <w:r w:rsidRPr="00C914DF">
        <w:t>CIPFA undert</w:t>
      </w:r>
      <w:r w:rsidR="00F80592" w:rsidRPr="00C914DF">
        <w:t>a</w:t>
      </w:r>
      <w:r w:rsidRPr="00C914DF">
        <w:t>k</w:t>
      </w:r>
      <w:r w:rsidR="00F80592" w:rsidRPr="00C914DF">
        <w:t>e</w:t>
      </w:r>
      <w:r w:rsidRPr="00C914DF">
        <w:t xml:space="preserve"> </w:t>
      </w:r>
      <w:r w:rsidR="00F80592" w:rsidRPr="00C914DF">
        <w:t xml:space="preserve">a </w:t>
      </w:r>
      <w:r w:rsidRPr="00C914DF">
        <w:t>survey of councils to understand their financial resilience. By analysing data from individual councils and providing</w:t>
      </w:r>
      <w:r w:rsidRPr="005E6DAB">
        <w:t xml:space="preserve"> comparisons on </w:t>
      </w:r>
      <w:proofErr w:type="gramStart"/>
      <w:r w:rsidRPr="005E6DAB">
        <w:t>a number of</w:t>
      </w:r>
      <w:proofErr w:type="gramEnd"/>
      <w:r w:rsidRPr="005E6DAB">
        <w:t xml:space="preserve"> key financial areas, </w:t>
      </w:r>
      <w:r w:rsidR="00F80592" w:rsidRPr="005E6DAB">
        <w:t xml:space="preserve">CIPFA place a </w:t>
      </w:r>
      <w:r w:rsidRPr="005E6DAB">
        <w:t xml:space="preserve">risk rating against each of these measures in terms high, medium and low risk. </w:t>
      </w:r>
      <w:r w:rsidR="00F80592" w:rsidRPr="005E6DAB">
        <w:t>The la</w:t>
      </w:r>
      <w:r w:rsidR="00C914DF">
        <w:t>st</w:t>
      </w:r>
      <w:r w:rsidR="00F80592" w:rsidRPr="005E6DAB">
        <w:t xml:space="preserve"> exercise undertaken </w:t>
      </w:r>
      <w:r w:rsidR="00C914DF">
        <w:t xml:space="preserve">was </w:t>
      </w:r>
      <w:r w:rsidR="00F80592" w:rsidRPr="005E6DAB">
        <w:t>in December 202</w:t>
      </w:r>
      <w:r w:rsidR="005E6DAB" w:rsidRPr="005E6DAB">
        <w:t>2</w:t>
      </w:r>
      <w:r w:rsidR="00F80592" w:rsidRPr="005E6DAB">
        <w:t xml:space="preserve"> based on financial information for 202</w:t>
      </w:r>
      <w:r w:rsidR="005E6DAB" w:rsidRPr="005E6DAB">
        <w:t>1</w:t>
      </w:r>
      <w:r w:rsidR="00F80592" w:rsidRPr="005E6DAB">
        <w:t>-2</w:t>
      </w:r>
      <w:r w:rsidR="005E6DAB" w:rsidRPr="005E6DAB">
        <w:t>2</w:t>
      </w:r>
      <w:r w:rsidR="00C914DF">
        <w:t xml:space="preserve"> but may still provide a useful indication of how the council stands compared to these indicators</w:t>
      </w:r>
      <w:r w:rsidR="00F80592" w:rsidRPr="005E6DAB">
        <w:t xml:space="preserve">. </w:t>
      </w:r>
    </w:p>
    <w:p w14:paraId="4FBC55FF" w14:textId="4748C5B4" w:rsidR="00357F7E" w:rsidRPr="005E6DAB" w:rsidRDefault="005E6DAB" w:rsidP="00DE6A6E">
      <w:pPr>
        <w:pStyle w:val="Bulletpoints"/>
        <w:numPr>
          <w:ilvl w:val="0"/>
          <w:numId w:val="12"/>
        </w:numPr>
        <w:ind w:left="426" w:hanging="426"/>
      </w:pPr>
      <w:r w:rsidRPr="005E6DAB">
        <w:t>T</w:t>
      </w:r>
      <w:r w:rsidR="00F80592" w:rsidRPr="005E6DAB">
        <w:t xml:space="preserve">he main observations </w:t>
      </w:r>
      <w:r w:rsidR="00357F7E" w:rsidRPr="005E6DAB">
        <w:t xml:space="preserve">in comparison to other non-metropolitan districts </w:t>
      </w:r>
      <w:r w:rsidR="00F80592" w:rsidRPr="005E6DAB">
        <w:t>was as follows</w:t>
      </w:r>
      <w:r w:rsidR="00357F7E" w:rsidRPr="005E6DAB">
        <w:t xml:space="preserve">: </w:t>
      </w:r>
    </w:p>
    <w:p w14:paraId="46B23EED" w14:textId="5CAB7656" w:rsidR="00421FF0" w:rsidRPr="005E6DAB" w:rsidRDefault="00F80592" w:rsidP="00DE6A6E">
      <w:pPr>
        <w:pStyle w:val="Bulletpoints"/>
        <w:numPr>
          <w:ilvl w:val="0"/>
          <w:numId w:val="13"/>
        </w:numPr>
        <w:ind w:left="1134" w:hanging="567"/>
      </w:pPr>
      <w:r w:rsidRPr="005E6DAB">
        <w:t xml:space="preserve">The ratio of </w:t>
      </w:r>
      <w:r w:rsidR="0084763E">
        <w:t xml:space="preserve">Council tax income as a proportion of net </w:t>
      </w:r>
      <w:r w:rsidR="0084763E" w:rsidRPr="0084763E">
        <w:t xml:space="preserve">expenditure </w:t>
      </w:r>
      <w:r w:rsidRPr="0084763E">
        <w:t xml:space="preserve">was </w:t>
      </w:r>
      <w:r w:rsidR="0084763E" w:rsidRPr="0084763E">
        <w:t>38</w:t>
      </w:r>
      <w:r w:rsidRPr="0084763E">
        <w:t xml:space="preserve">% for Oxford against a range of </w:t>
      </w:r>
      <w:r w:rsidR="0084763E" w:rsidRPr="0084763E">
        <w:t>34</w:t>
      </w:r>
      <w:r w:rsidRPr="0084763E">
        <w:t xml:space="preserve">%- </w:t>
      </w:r>
      <w:r w:rsidR="0084763E" w:rsidRPr="0084763E">
        <w:t>1</w:t>
      </w:r>
      <w:r w:rsidRPr="0084763E">
        <w:t>00% for other local authorities. The</w:t>
      </w:r>
      <w:r w:rsidRPr="005E6DAB">
        <w:t xml:space="preserve"> authority was deemed </w:t>
      </w:r>
      <w:r w:rsidR="0084763E">
        <w:t>low</w:t>
      </w:r>
      <w:r w:rsidR="0080782B">
        <w:t xml:space="preserve"> risk, which is surprising. </w:t>
      </w:r>
      <w:r w:rsidRPr="005E6DAB">
        <w:t xml:space="preserve"> </w:t>
      </w:r>
      <w:r w:rsidR="00957F9D" w:rsidRPr="005E6DAB">
        <w:t xml:space="preserve"> </w:t>
      </w:r>
    </w:p>
    <w:p w14:paraId="5E88240E" w14:textId="693554FA" w:rsidR="00CB7331" w:rsidRPr="0084763E" w:rsidRDefault="00CB7331" w:rsidP="00DE6A6E">
      <w:pPr>
        <w:pStyle w:val="Bulletpoints"/>
        <w:tabs>
          <w:tab w:val="clear" w:pos="1134"/>
        </w:tabs>
        <w:ind w:hanging="567"/>
      </w:pPr>
      <w:r w:rsidRPr="005E6DAB">
        <w:t xml:space="preserve">The ‘Oxford Model’ </w:t>
      </w:r>
      <w:r w:rsidR="00664A87" w:rsidRPr="005E6DAB">
        <w:t>relies</w:t>
      </w:r>
      <w:r w:rsidRPr="005E6DAB">
        <w:t xml:space="preserve"> on significant income streams to fund its gross expenditure. </w:t>
      </w:r>
      <w:r w:rsidR="00F80592" w:rsidRPr="005E6DAB">
        <w:t>Fees and charges as a ratio to service expenditure is 2</w:t>
      </w:r>
      <w:r w:rsidR="005E6DAB" w:rsidRPr="005E6DAB">
        <w:t>5</w:t>
      </w:r>
      <w:r w:rsidR="00F80592" w:rsidRPr="005E6DAB">
        <w:t xml:space="preserve">% against a range of </w:t>
      </w:r>
      <w:r w:rsidR="005E6DAB" w:rsidRPr="005E6DAB">
        <w:t>1.37</w:t>
      </w:r>
      <w:r w:rsidR="00F80592" w:rsidRPr="005E6DAB">
        <w:t xml:space="preserve">% to </w:t>
      </w:r>
      <w:r w:rsidR="005E6DAB" w:rsidRPr="005E6DAB">
        <w:t>57</w:t>
      </w:r>
      <w:r w:rsidR="00F80592" w:rsidRPr="005E6DAB">
        <w:t xml:space="preserve">% for other local authorities. </w:t>
      </w:r>
      <w:r w:rsidR="008A7100" w:rsidRPr="005E6DAB">
        <w:t xml:space="preserve">This ratio will increase over the life of the MTFP given the reliance on financial returns from OCHL and ODS and although deemed low by CIPFA is certainly one to </w:t>
      </w:r>
      <w:r w:rsidR="008A7100" w:rsidRPr="0084763E">
        <w:t>closely monitor</w:t>
      </w:r>
      <w:r w:rsidRPr="0084763E">
        <w:t>.</w:t>
      </w:r>
    </w:p>
    <w:p w14:paraId="40AED080" w14:textId="63970760" w:rsidR="00CB7331" w:rsidRPr="0084763E" w:rsidRDefault="00CB7331" w:rsidP="00DE6A6E">
      <w:pPr>
        <w:pStyle w:val="Bulletpoints"/>
        <w:tabs>
          <w:tab w:val="clear" w:pos="1134"/>
        </w:tabs>
        <w:ind w:hanging="567"/>
      </w:pPr>
      <w:r w:rsidRPr="0084763E">
        <w:lastRenderedPageBreak/>
        <w:t xml:space="preserve">The high percentage of business rates growth above baseline for Oxford City Council </w:t>
      </w:r>
      <w:r w:rsidR="008A7100" w:rsidRPr="0084763E">
        <w:t xml:space="preserve">at 74% within a range of -153% to 435% </w:t>
      </w:r>
      <w:r w:rsidRPr="0084763E">
        <w:t xml:space="preserve">is reflective of the opening </w:t>
      </w:r>
      <w:r w:rsidR="008A7100" w:rsidRPr="0084763E">
        <w:t>of the Westgate Shopping Centre and is deemed medium to high risk.</w:t>
      </w:r>
      <w:r w:rsidRPr="0084763E">
        <w:t xml:space="preserve"> </w:t>
      </w:r>
    </w:p>
    <w:p w14:paraId="0D8197AB" w14:textId="62B8945A" w:rsidR="00CB7331" w:rsidRPr="0084763E" w:rsidRDefault="00CB7331" w:rsidP="00DE6A6E">
      <w:pPr>
        <w:pStyle w:val="Bulletpoints"/>
        <w:tabs>
          <w:tab w:val="clear" w:pos="1134"/>
        </w:tabs>
        <w:ind w:hanging="567"/>
      </w:pPr>
      <w:r w:rsidRPr="0084763E">
        <w:t>At £3.</w:t>
      </w:r>
      <w:r w:rsidR="00421FF0" w:rsidRPr="0084763E">
        <w:t>8</w:t>
      </w:r>
      <w:r w:rsidRPr="0084763E">
        <w:t xml:space="preserve"> million the General Fund Working Balance at around 1</w:t>
      </w:r>
      <w:r w:rsidR="0084763E" w:rsidRPr="0084763E">
        <w:t>0</w:t>
      </w:r>
      <w:r w:rsidRPr="0084763E">
        <w:t xml:space="preserve">% of net revenue expenditure. Whilst this </w:t>
      </w:r>
      <w:r w:rsidR="00226385" w:rsidRPr="0084763E">
        <w:t>was</w:t>
      </w:r>
      <w:r w:rsidRPr="0084763E">
        <w:t xml:space="preserve"> far short of the upper end of the sample group at </w:t>
      </w:r>
      <w:r w:rsidR="008A7100" w:rsidRPr="0084763E">
        <w:t>300</w:t>
      </w:r>
      <w:r w:rsidRPr="0084763E">
        <w:t xml:space="preserve">% </w:t>
      </w:r>
      <w:r w:rsidR="0084763E" w:rsidRPr="0084763E">
        <w:t xml:space="preserve">and is considered high risk, </w:t>
      </w:r>
      <w:r w:rsidRPr="0084763E">
        <w:t xml:space="preserve">it is still considered by the Council’s Section 151 Officer to be a reasonable level for this authority especially when combined with earmarked reserves. </w:t>
      </w:r>
    </w:p>
    <w:p w14:paraId="197CAB2B" w14:textId="77777777" w:rsidR="00150DF7" w:rsidRPr="00A648E4" w:rsidRDefault="00150DF7" w:rsidP="00E65AA8">
      <w:pPr>
        <w:ind w:left="567" w:hanging="567"/>
        <w:rPr>
          <w:b/>
        </w:rPr>
      </w:pPr>
      <w:r w:rsidRPr="00A648E4">
        <w:rPr>
          <w:b/>
        </w:rPr>
        <w:t>Sensitivity Analysis</w:t>
      </w:r>
    </w:p>
    <w:p w14:paraId="5EBF5B79" w14:textId="67C04FCA" w:rsidR="00150DF7" w:rsidRDefault="00A648E4" w:rsidP="00E65AA8">
      <w:pPr>
        <w:pStyle w:val="bParagraphtext"/>
        <w:numPr>
          <w:ilvl w:val="0"/>
          <w:numId w:val="12"/>
        </w:numPr>
        <w:tabs>
          <w:tab w:val="clear" w:pos="426"/>
          <w:tab w:val="left" w:pos="0"/>
        </w:tabs>
        <w:ind w:left="567" w:hanging="567"/>
      </w:pPr>
      <w:r w:rsidRPr="00A648E4">
        <w:t xml:space="preserve">Risks remain around fluctuations in the council’s incomes and expenditure. </w:t>
      </w:r>
      <w:r w:rsidR="00346115" w:rsidRPr="00A648E4">
        <w:t>Whilst</w:t>
      </w:r>
      <w:r w:rsidRPr="00A648E4">
        <w:t xml:space="preserve"> it is unlikely that there would an adverse impact on </w:t>
      </w:r>
      <w:proofErr w:type="gramStart"/>
      <w:r w:rsidRPr="00A648E4">
        <w:t>all of</w:t>
      </w:r>
      <w:proofErr w:type="gramEnd"/>
      <w:r w:rsidRPr="00A648E4">
        <w:t xml:space="preserve"> these areas all at once should this happen then reserves would be required to cover the resultant shortfall. </w:t>
      </w:r>
      <w:r w:rsidR="00150DF7" w:rsidRPr="00A648E4">
        <w:t xml:space="preserve">The following analysis indicates the financial </w:t>
      </w:r>
      <w:r w:rsidR="00C80B48" w:rsidRPr="00A648E4">
        <w:t>impact</w:t>
      </w:r>
      <w:r w:rsidR="00150DF7" w:rsidRPr="00A648E4">
        <w:t xml:space="preserve"> of a 10% variation </w:t>
      </w:r>
      <w:r w:rsidR="00346115" w:rsidRPr="00A648E4">
        <w:t xml:space="preserve">on significant items of income and expenditure.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3: Sensitivity Analysis"/>
      </w:tblPr>
      <w:tblGrid>
        <w:gridCol w:w="4219"/>
        <w:gridCol w:w="1701"/>
        <w:gridCol w:w="1843"/>
      </w:tblGrid>
      <w:tr w:rsidR="00D16F0A" w:rsidRPr="00F33D54" w14:paraId="34A212B3" w14:textId="77777777" w:rsidTr="00A648E4">
        <w:tc>
          <w:tcPr>
            <w:tcW w:w="4219" w:type="dxa"/>
            <w:shd w:val="clear" w:color="auto" w:fill="auto"/>
          </w:tcPr>
          <w:p w14:paraId="393D03CC" w14:textId="5F7F82DE" w:rsidR="00D16F0A" w:rsidRPr="00F33D54" w:rsidRDefault="00D16F0A" w:rsidP="00E65AA8">
            <w:pPr>
              <w:rPr>
                <w:highlight w:val="yellow"/>
              </w:rPr>
            </w:pPr>
          </w:p>
        </w:tc>
        <w:tc>
          <w:tcPr>
            <w:tcW w:w="1701" w:type="dxa"/>
            <w:shd w:val="clear" w:color="auto" w:fill="auto"/>
            <w:vAlign w:val="center"/>
          </w:tcPr>
          <w:p w14:paraId="74C785B8" w14:textId="09AA25F9" w:rsidR="00D16F0A" w:rsidRPr="00F33D54" w:rsidRDefault="00D16F0A" w:rsidP="00E65AA8">
            <w:pPr>
              <w:jc w:val="right"/>
              <w:rPr>
                <w:highlight w:val="yellow"/>
              </w:rPr>
            </w:pPr>
          </w:p>
        </w:tc>
        <w:tc>
          <w:tcPr>
            <w:tcW w:w="1843" w:type="dxa"/>
            <w:shd w:val="clear" w:color="auto" w:fill="auto"/>
            <w:vAlign w:val="center"/>
          </w:tcPr>
          <w:p w14:paraId="2561D12B" w14:textId="4897FBF8" w:rsidR="00D16F0A" w:rsidRPr="00F33D54" w:rsidRDefault="00D16F0A" w:rsidP="00E65AA8">
            <w:pPr>
              <w:jc w:val="right"/>
              <w:rPr>
                <w:highlight w:val="yellow"/>
              </w:rPr>
            </w:pPr>
          </w:p>
        </w:tc>
      </w:tr>
    </w:tbl>
    <w:tbl>
      <w:tblPr>
        <w:tblStyle w:val="TableGrid1"/>
        <w:tblW w:w="0" w:type="auto"/>
        <w:tblInd w:w="720" w:type="dxa"/>
        <w:tblLook w:val="04A0" w:firstRow="1" w:lastRow="0" w:firstColumn="1" w:lastColumn="0" w:noHBand="0" w:noVBand="1"/>
        <w:tblDescription w:val="Table 3: Sensitivity Analysis"/>
      </w:tblPr>
      <w:tblGrid>
        <w:gridCol w:w="4219"/>
        <w:gridCol w:w="1701"/>
        <w:gridCol w:w="1843"/>
      </w:tblGrid>
      <w:tr w:rsidR="00A648E4" w:rsidRPr="00E65AA8" w14:paraId="60966088" w14:textId="77777777" w:rsidTr="00DE6A6E">
        <w:tc>
          <w:tcPr>
            <w:tcW w:w="7763" w:type="dxa"/>
            <w:gridSpan w:val="3"/>
            <w:shd w:val="clear" w:color="auto" w:fill="auto"/>
          </w:tcPr>
          <w:p w14:paraId="47ECC034" w14:textId="77777777" w:rsidR="00A648E4" w:rsidRPr="00E65AA8" w:rsidRDefault="00A648E4" w:rsidP="00E65AA8">
            <w:pPr>
              <w:rPr>
                <w:b/>
              </w:rPr>
            </w:pPr>
            <w:r w:rsidRPr="00E65AA8">
              <w:rPr>
                <w:b/>
              </w:rPr>
              <w:t xml:space="preserve">10% Variation in Income </w:t>
            </w:r>
            <w:proofErr w:type="gramStart"/>
            <w:r w:rsidRPr="00E65AA8">
              <w:rPr>
                <w:b/>
              </w:rPr>
              <w:t>And</w:t>
            </w:r>
            <w:proofErr w:type="gramEnd"/>
            <w:r w:rsidRPr="00E65AA8">
              <w:rPr>
                <w:b/>
              </w:rPr>
              <w:t xml:space="preserve"> Expenditure</w:t>
            </w:r>
          </w:p>
        </w:tc>
      </w:tr>
      <w:tr w:rsidR="00A648E4" w:rsidRPr="00E65AA8" w14:paraId="38F7C5DC" w14:textId="77777777" w:rsidTr="00DE6A6E">
        <w:tc>
          <w:tcPr>
            <w:tcW w:w="4219" w:type="dxa"/>
            <w:shd w:val="clear" w:color="auto" w:fill="auto"/>
          </w:tcPr>
          <w:p w14:paraId="040232DA" w14:textId="77777777" w:rsidR="00A648E4" w:rsidRPr="00E65AA8" w:rsidRDefault="00A648E4" w:rsidP="00E65AA8">
            <w:pPr>
              <w:spacing w:after="0"/>
              <w:jc w:val="right"/>
            </w:pPr>
          </w:p>
        </w:tc>
        <w:tc>
          <w:tcPr>
            <w:tcW w:w="1701" w:type="dxa"/>
            <w:shd w:val="clear" w:color="auto" w:fill="auto"/>
          </w:tcPr>
          <w:p w14:paraId="636588D2" w14:textId="77777777" w:rsidR="00A648E4" w:rsidRPr="00E65AA8" w:rsidRDefault="00A648E4" w:rsidP="00E65AA8">
            <w:pPr>
              <w:spacing w:after="0"/>
              <w:jc w:val="right"/>
              <w:rPr>
                <w:b/>
              </w:rPr>
            </w:pPr>
            <w:r w:rsidRPr="00E65AA8">
              <w:rPr>
                <w:b/>
              </w:rPr>
              <w:t xml:space="preserve">Gross </w:t>
            </w:r>
          </w:p>
          <w:p w14:paraId="493EBFE6" w14:textId="77777777" w:rsidR="00A648E4" w:rsidRPr="00E65AA8" w:rsidRDefault="00A648E4" w:rsidP="00E65AA8">
            <w:pPr>
              <w:spacing w:after="0"/>
              <w:jc w:val="right"/>
            </w:pPr>
            <w:r w:rsidRPr="00E65AA8">
              <w:t>£000's</w:t>
            </w:r>
          </w:p>
        </w:tc>
        <w:tc>
          <w:tcPr>
            <w:tcW w:w="1843" w:type="dxa"/>
            <w:shd w:val="clear" w:color="auto" w:fill="auto"/>
          </w:tcPr>
          <w:p w14:paraId="0754ABB5" w14:textId="77777777" w:rsidR="00A648E4" w:rsidRPr="00E65AA8" w:rsidRDefault="00A648E4" w:rsidP="00E65AA8">
            <w:pPr>
              <w:spacing w:after="0"/>
              <w:jc w:val="right"/>
              <w:rPr>
                <w:b/>
              </w:rPr>
            </w:pPr>
            <w:r w:rsidRPr="00E65AA8">
              <w:rPr>
                <w:b/>
              </w:rPr>
              <w:t xml:space="preserve">Risk </w:t>
            </w:r>
          </w:p>
          <w:p w14:paraId="564BE75D" w14:textId="77777777" w:rsidR="00A648E4" w:rsidRPr="00E65AA8" w:rsidRDefault="00A648E4" w:rsidP="00E65AA8">
            <w:pPr>
              <w:spacing w:after="0"/>
              <w:jc w:val="right"/>
            </w:pPr>
            <w:r w:rsidRPr="00E65AA8">
              <w:t>£000's</w:t>
            </w:r>
          </w:p>
        </w:tc>
      </w:tr>
      <w:tr w:rsidR="00A648E4" w:rsidRPr="00E65AA8" w14:paraId="24BCA432" w14:textId="77777777" w:rsidTr="00DE6A6E">
        <w:tc>
          <w:tcPr>
            <w:tcW w:w="4219" w:type="dxa"/>
            <w:shd w:val="clear" w:color="auto" w:fill="auto"/>
          </w:tcPr>
          <w:p w14:paraId="146E520E" w14:textId="75221E35" w:rsidR="00A648E4" w:rsidRPr="00E65AA8" w:rsidRDefault="00A648E4" w:rsidP="00E65AA8">
            <w:r w:rsidRPr="00E65AA8">
              <w:t>Additional efficiencies</w:t>
            </w:r>
            <w:r w:rsidR="00E65AA8" w:rsidRPr="00E65AA8">
              <w:t xml:space="preserve"> and fees and charges</w:t>
            </w:r>
          </w:p>
        </w:tc>
        <w:tc>
          <w:tcPr>
            <w:tcW w:w="1701" w:type="dxa"/>
            <w:tcBorders>
              <w:top w:val="nil"/>
              <w:left w:val="nil"/>
              <w:bottom w:val="single" w:sz="8" w:space="0" w:color="auto"/>
              <w:right w:val="single" w:sz="8" w:space="0" w:color="auto"/>
            </w:tcBorders>
            <w:shd w:val="clear" w:color="auto" w:fill="auto"/>
            <w:vAlign w:val="center"/>
          </w:tcPr>
          <w:p w14:paraId="674EA159" w14:textId="5F7FED7F" w:rsidR="00A648E4" w:rsidRPr="00E65AA8" w:rsidRDefault="00E65AA8" w:rsidP="00E65AA8">
            <w:pPr>
              <w:spacing w:after="0"/>
              <w:jc w:val="right"/>
              <w:rPr>
                <w:rFonts w:cs="Arial"/>
              </w:rPr>
            </w:pPr>
            <w:r w:rsidRPr="00E65AA8">
              <w:rPr>
                <w:rFonts w:cs="Arial"/>
              </w:rPr>
              <w:t>3,200</w:t>
            </w:r>
          </w:p>
        </w:tc>
        <w:tc>
          <w:tcPr>
            <w:tcW w:w="1843" w:type="dxa"/>
            <w:tcBorders>
              <w:top w:val="nil"/>
              <w:left w:val="nil"/>
              <w:bottom w:val="single" w:sz="8" w:space="0" w:color="auto"/>
              <w:right w:val="single" w:sz="8" w:space="0" w:color="auto"/>
            </w:tcBorders>
            <w:shd w:val="clear" w:color="auto" w:fill="auto"/>
            <w:vAlign w:val="center"/>
          </w:tcPr>
          <w:p w14:paraId="4E90D15C" w14:textId="7A988B37" w:rsidR="00A648E4" w:rsidRPr="00E65AA8" w:rsidRDefault="00E65AA8" w:rsidP="00E65AA8">
            <w:pPr>
              <w:jc w:val="right"/>
              <w:rPr>
                <w:rFonts w:cs="Arial"/>
              </w:rPr>
            </w:pPr>
            <w:r w:rsidRPr="00E65AA8">
              <w:rPr>
                <w:rFonts w:cs="Arial"/>
              </w:rPr>
              <w:t>320</w:t>
            </w:r>
          </w:p>
        </w:tc>
      </w:tr>
      <w:tr w:rsidR="00A648E4" w:rsidRPr="00E65AA8" w14:paraId="5153B26B" w14:textId="77777777" w:rsidTr="00DE6A6E">
        <w:tc>
          <w:tcPr>
            <w:tcW w:w="4219" w:type="dxa"/>
            <w:shd w:val="clear" w:color="auto" w:fill="auto"/>
          </w:tcPr>
          <w:p w14:paraId="73F3C99C" w14:textId="77777777" w:rsidR="00A648E4" w:rsidRPr="00E65AA8" w:rsidRDefault="00A648E4" w:rsidP="00E65AA8">
            <w:r w:rsidRPr="00E65AA8">
              <w:t xml:space="preserve">Car Parking Income </w:t>
            </w:r>
          </w:p>
        </w:tc>
        <w:tc>
          <w:tcPr>
            <w:tcW w:w="1701" w:type="dxa"/>
            <w:tcBorders>
              <w:top w:val="nil"/>
              <w:left w:val="nil"/>
              <w:bottom w:val="single" w:sz="8" w:space="0" w:color="auto"/>
              <w:right w:val="single" w:sz="8" w:space="0" w:color="auto"/>
            </w:tcBorders>
            <w:shd w:val="clear" w:color="auto" w:fill="auto"/>
            <w:vAlign w:val="center"/>
          </w:tcPr>
          <w:p w14:paraId="6A8A4F65" w14:textId="4355EE96" w:rsidR="00A648E4" w:rsidRPr="00E65AA8" w:rsidRDefault="000C1C4C" w:rsidP="00E65AA8">
            <w:pPr>
              <w:jc w:val="right"/>
              <w:rPr>
                <w:rFonts w:cs="Arial"/>
              </w:rPr>
            </w:pPr>
            <w:r>
              <w:rPr>
                <w:rFonts w:cs="Arial"/>
              </w:rPr>
              <w:t>7,109</w:t>
            </w:r>
          </w:p>
        </w:tc>
        <w:tc>
          <w:tcPr>
            <w:tcW w:w="1843" w:type="dxa"/>
            <w:tcBorders>
              <w:top w:val="nil"/>
              <w:left w:val="nil"/>
              <w:bottom w:val="single" w:sz="8" w:space="0" w:color="auto"/>
              <w:right w:val="single" w:sz="8" w:space="0" w:color="auto"/>
            </w:tcBorders>
            <w:shd w:val="clear" w:color="auto" w:fill="auto"/>
            <w:vAlign w:val="center"/>
          </w:tcPr>
          <w:p w14:paraId="5714BAEB" w14:textId="61E1351C" w:rsidR="00A648E4" w:rsidRPr="00E65AA8" w:rsidRDefault="000C1C4C" w:rsidP="00E65AA8">
            <w:pPr>
              <w:jc w:val="right"/>
              <w:rPr>
                <w:rFonts w:cs="Arial"/>
              </w:rPr>
            </w:pPr>
            <w:r>
              <w:rPr>
                <w:rFonts w:cs="Arial"/>
              </w:rPr>
              <w:t>711</w:t>
            </w:r>
          </w:p>
        </w:tc>
      </w:tr>
      <w:tr w:rsidR="00A648E4" w:rsidRPr="00E65AA8" w14:paraId="7F920FB0" w14:textId="77777777" w:rsidTr="00DE6A6E">
        <w:tc>
          <w:tcPr>
            <w:tcW w:w="4219" w:type="dxa"/>
            <w:shd w:val="clear" w:color="auto" w:fill="auto"/>
          </w:tcPr>
          <w:p w14:paraId="12F0A60A" w14:textId="77777777" w:rsidR="00A648E4" w:rsidRPr="00E65AA8" w:rsidRDefault="00A648E4" w:rsidP="00E65AA8">
            <w:r w:rsidRPr="00E65AA8">
              <w:t>Commercial rent income</w:t>
            </w:r>
          </w:p>
        </w:tc>
        <w:tc>
          <w:tcPr>
            <w:tcW w:w="1701" w:type="dxa"/>
            <w:tcBorders>
              <w:top w:val="nil"/>
              <w:left w:val="nil"/>
              <w:bottom w:val="single" w:sz="8" w:space="0" w:color="auto"/>
              <w:right w:val="single" w:sz="8" w:space="0" w:color="auto"/>
            </w:tcBorders>
            <w:shd w:val="clear" w:color="auto" w:fill="auto"/>
            <w:vAlign w:val="center"/>
          </w:tcPr>
          <w:p w14:paraId="351E8814" w14:textId="0B938A14" w:rsidR="00A648E4" w:rsidRPr="00E65AA8" w:rsidRDefault="000C1C4C" w:rsidP="00E65AA8">
            <w:pPr>
              <w:jc w:val="right"/>
              <w:rPr>
                <w:rFonts w:cs="Arial"/>
              </w:rPr>
            </w:pPr>
            <w:r>
              <w:rPr>
                <w:rFonts w:cs="Arial"/>
              </w:rPr>
              <w:t>12,414</w:t>
            </w:r>
          </w:p>
        </w:tc>
        <w:tc>
          <w:tcPr>
            <w:tcW w:w="1843" w:type="dxa"/>
            <w:tcBorders>
              <w:top w:val="nil"/>
              <w:left w:val="nil"/>
              <w:bottom w:val="single" w:sz="8" w:space="0" w:color="auto"/>
              <w:right w:val="single" w:sz="8" w:space="0" w:color="auto"/>
            </w:tcBorders>
            <w:shd w:val="clear" w:color="auto" w:fill="auto"/>
            <w:vAlign w:val="center"/>
          </w:tcPr>
          <w:p w14:paraId="6F5734D0" w14:textId="61ADDBEA" w:rsidR="00A648E4" w:rsidRPr="00E65AA8" w:rsidRDefault="000C1C4C" w:rsidP="00E65AA8">
            <w:pPr>
              <w:jc w:val="right"/>
              <w:rPr>
                <w:rFonts w:cs="Arial"/>
              </w:rPr>
            </w:pPr>
            <w:r>
              <w:rPr>
                <w:rFonts w:cs="Arial"/>
              </w:rPr>
              <w:t>1,241</w:t>
            </w:r>
          </w:p>
        </w:tc>
      </w:tr>
      <w:tr w:rsidR="00A648E4" w:rsidRPr="00E65AA8" w14:paraId="26C30194" w14:textId="77777777" w:rsidTr="00DE6A6E">
        <w:tc>
          <w:tcPr>
            <w:tcW w:w="4219" w:type="dxa"/>
            <w:shd w:val="clear" w:color="auto" w:fill="auto"/>
          </w:tcPr>
          <w:p w14:paraId="7E8DF94E" w14:textId="77777777" w:rsidR="00A648E4" w:rsidRPr="00E65AA8" w:rsidRDefault="00A648E4" w:rsidP="00E65AA8">
            <w:r w:rsidRPr="00E65AA8">
              <w:t>Business Rates</w:t>
            </w:r>
          </w:p>
        </w:tc>
        <w:tc>
          <w:tcPr>
            <w:tcW w:w="1701" w:type="dxa"/>
            <w:tcBorders>
              <w:top w:val="nil"/>
              <w:left w:val="nil"/>
              <w:bottom w:val="single" w:sz="8" w:space="0" w:color="auto"/>
              <w:right w:val="single" w:sz="8" w:space="0" w:color="auto"/>
            </w:tcBorders>
            <w:shd w:val="clear" w:color="auto" w:fill="auto"/>
            <w:vAlign w:val="center"/>
          </w:tcPr>
          <w:p w14:paraId="27A22311" w14:textId="2645AF8F" w:rsidR="00A648E4" w:rsidRPr="00E65AA8" w:rsidRDefault="00E65AA8" w:rsidP="00E65AA8">
            <w:pPr>
              <w:jc w:val="right"/>
              <w:rPr>
                <w:rFonts w:cs="Arial"/>
              </w:rPr>
            </w:pPr>
            <w:r>
              <w:rPr>
                <w:rFonts w:cs="Arial"/>
              </w:rPr>
              <w:t>11,100</w:t>
            </w:r>
          </w:p>
        </w:tc>
        <w:tc>
          <w:tcPr>
            <w:tcW w:w="1843" w:type="dxa"/>
            <w:tcBorders>
              <w:top w:val="nil"/>
              <w:left w:val="nil"/>
              <w:bottom w:val="single" w:sz="8" w:space="0" w:color="auto"/>
              <w:right w:val="single" w:sz="8" w:space="0" w:color="auto"/>
            </w:tcBorders>
            <w:shd w:val="clear" w:color="auto" w:fill="auto"/>
            <w:vAlign w:val="center"/>
          </w:tcPr>
          <w:p w14:paraId="1228153A" w14:textId="42F6084A" w:rsidR="00A648E4" w:rsidRPr="00E65AA8" w:rsidRDefault="00E65AA8" w:rsidP="00E65AA8">
            <w:pPr>
              <w:jc w:val="right"/>
              <w:rPr>
                <w:rFonts w:cs="Arial"/>
              </w:rPr>
            </w:pPr>
            <w:r>
              <w:rPr>
                <w:rFonts w:cs="Arial"/>
              </w:rPr>
              <w:t>1,100</w:t>
            </w:r>
          </w:p>
        </w:tc>
      </w:tr>
      <w:tr w:rsidR="00A648E4" w:rsidRPr="00E65AA8" w14:paraId="74FA936F" w14:textId="77777777" w:rsidTr="00DE6A6E">
        <w:tc>
          <w:tcPr>
            <w:tcW w:w="4219" w:type="dxa"/>
            <w:shd w:val="clear" w:color="auto" w:fill="auto"/>
          </w:tcPr>
          <w:p w14:paraId="22204463" w14:textId="3F4F2E98" w:rsidR="00A648E4" w:rsidRPr="00E65AA8" w:rsidRDefault="00E65AA8" w:rsidP="000C1C4C">
            <w:r>
              <w:t xml:space="preserve">Returns from companies </w:t>
            </w:r>
            <w:proofErr w:type="gramStart"/>
            <w:r>
              <w:t>an</w:t>
            </w:r>
            <w:proofErr w:type="gramEnd"/>
            <w:r>
              <w:t xml:space="preserve"> joint ventures</w:t>
            </w:r>
          </w:p>
        </w:tc>
        <w:tc>
          <w:tcPr>
            <w:tcW w:w="1701" w:type="dxa"/>
            <w:tcBorders>
              <w:top w:val="nil"/>
              <w:left w:val="nil"/>
              <w:bottom w:val="single" w:sz="8" w:space="0" w:color="auto"/>
              <w:right w:val="single" w:sz="8" w:space="0" w:color="auto"/>
            </w:tcBorders>
            <w:shd w:val="clear" w:color="auto" w:fill="auto"/>
            <w:vAlign w:val="center"/>
          </w:tcPr>
          <w:p w14:paraId="4AEC5797" w14:textId="7ABF330A" w:rsidR="00A648E4" w:rsidRPr="00E65AA8" w:rsidRDefault="00E65AA8" w:rsidP="00E65AA8">
            <w:pPr>
              <w:jc w:val="right"/>
              <w:rPr>
                <w:rFonts w:cs="Arial"/>
              </w:rPr>
            </w:pPr>
            <w:r>
              <w:rPr>
                <w:rFonts w:cs="Arial"/>
              </w:rPr>
              <w:t>7,964</w:t>
            </w:r>
          </w:p>
        </w:tc>
        <w:tc>
          <w:tcPr>
            <w:tcW w:w="1843" w:type="dxa"/>
            <w:tcBorders>
              <w:top w:val="nil"/>
              <w:left w:val="nil"/>
              <w:bottom w:val="single" w:sz="8" w:space="0" w:color="auto"/>
              <w:right w:val="single" w:sz="8" w:space="0" w:color="auto"/>
            </w:tcBorders>
            <w:shd w:val="clear" w:color="auto" w:fill="auto"/>
            <w:vAlign w:val="center"/>
          </w:tcPr>
          <w:p w14:paraId="67E91C96" w14:textId="1497E3B5" w:rsidR="00A648E4" w:rsidRPr="00E65AA8" w:rsidRDefault="00E65AA8" w:rsidP="00E65AA8">
            <w:pPr>
              <w:jc w:val="right"/>
              <w:rPr>
                <w:rFonts w:cs="Arial"/>
              </w:rPr>
            </w:pPr>
            <w:r>
              <w:rPr>
                <w:rFonts w:cs="Arial"/>
              </w:rPr>
              <w:t>796</w:t>
            </w:r>
          </w:p>
        </w:tc>
      </w:tr>
      <w:tr w:rsidR="00A648E4" w:rsidRPr="00E65AA8" w14:paraId="20163814" w14:textId="77777777" w:rsidTr="00DE6A6E">
        <w:tc>
          <w:tcPr>
            <w:tcW w:w="4219" w:type="dxa"/>
            <w:shd w:val="clear" w:color="auto" w:fill="auto"/>
          </w:tcPr>
          <w:p w14:paraId="4BF70D92" w14:textId="77777777" w:rsidR="00A648E4" w:rsidRPr="00E65AA8" w:rsidRDefault="00A648E4" w:rsidP="00E65AA8">
            <w:r w:rsidRPr="00E65AA8">
              <w:t>Other investment interest</w:t>
            </w:r>
          </w:p>
        </w:tc>
        <w:tc>
          <w:tcPr>
            <w:tcW w:w="1701" w:type="dxa"/>
            <w:tcBorders>
              <w:top w:val="nil"/>
              <w:left w:val="nil"/>
              <w:bottom w:val="single" w:sz="8" w:space="0" w:color="auto"/>
              <w:right w:val="single" w:sz="8" w:space="0" w:color="auto"/>
            </w:tcBorders>
            <w:shd w:val="clear" w:color="auto" w:fill="auto"/>
            <w:vAlign w:val="center"/>
          </w:tcPr>
          <w:p w14:paraId="5FD08ACE" w14:textId="341DDED4" w:rsidR="00A648E4" w:rsidRPr="00E65AA8" w:rsidRDefault="000C1C4C" w:rsidP="00E65AA8">
            <w:pPr>
              <w:jc w:val="right"/>
              <w:rPr>
                <w:rFonts w:cs="Arial"/>
              </w:rPr>
            </w:pPr>
            <w:r>
              <w:rPr>
                <w:rFonts w:cs="Arial"/>
              </w:rPr>
              <w:t>1,551</w:t>
            </w:r>
          </w:p>
        </w:tc>
        <w:tc>
          <w:tcPr>
            <w:tcW w:w="1843" w:type="dxa"/>
            <w:tcBorders>
              <w:top w:val="nil"/>
              <w:left w:val="nil"/>
              <w:bottom w:val="single" w:sz="8" w:space="0" w:color="auto"/>
              <w:right w:val="single" w:sz="8" w:space="0" w:color="auto"/>
            </w:tcBorders>
            <w:shd w:val="clear" w:color="auto" w:fill="auto"/>
            <w:vAlign w:val="center"/>
          </w:tcPr>
          <w:p w14:paraId="5E69E8D6" w14:textId="0DEA812A" w:rsidR="00A648E4" w:rsidRPr="00E65AA8" w:rsidRDefault="000C1C4C" w:rsidP="00E65AA8">
            <w:pPr>
              <w:jc w:val="right"/>
              <w:rPr>
                <w:rFonts w:cs="Arial"/>
              </w:rPr>
            </w:pPr>
            <w:r>
              <w:rPr>
                <w:rFonts w:cs="Arial"/>
              </w:rPr>
              <w:t>155</w:t>
            </w:r>
          </w:p>
        </w:tc>
      </w:tr>
      <w:tr w:rsidR="00A648E4" w:rsidRPr="00E65AA8" w14:paraId="0407D87C" w14:textId="77777777" w:rsidTr="00DE6A6E">
        <w:tc>
          <w:tcPr>
            <w:tcW w:w="4219" w:type="dxa"/>
            <w:shd w:val="clear" w:color="auto" w:fill="auto"/>
          </w:tcPr>
          <w:p w14:paraId="0F72250B" w14:textId="77777777" w:rsidR="00A648E4" w:rsidRPr="00E65AA8" w:rsidRDefault="00A648E4" w:rsidP="00E65AA8">
            <w:r w:rsidRPr="00E65AA8">
              <w:t>Homelessness expenditure</w:t>
            </w:r>
          </w:p>
        </w:tc>
        <w:tc>
          <w:tcPr>
            <w:tcW w:w="1701" w:type="dxa"/>
            <w:tcBorders>
              <w:top w:val="nil"/>
              <w:left w:val="nil"/>
              <w:bottom w:val="single" w:sz="8" w:space="0" w:color="auto"/>
              <w:right w:val="single" w:sz="8" w:space="0" w:color="auto"/>
            </w:tcBorders>
            <w:shd w:val="clear" w:color="auto" w:fill="auto"/>
            <w:vAlign w:val="center"/>
          </w:tcPr>
          <w:p w14:paraId="2903DF4E" w14:textId="783FFE7C" w:rsidR="00A648E4" w:rsidRPr="00E65AA8" w:rsidRDefault="000C1C4C" w:rsidP="00E65AA8">
            <w:pPr>
              <w:jc w:val="right"/>
              <w:rPr>
                <w:rFonts w:cs="Arial"/>
              </w:rPr>
            </w:pPr>
            <w:r>
              <w:rPr>
                <w:rFonts w:cs="Arial"/>
              </w:rPr>
              <w:t>2,969</w:t>
            </w:r>
          </w:p>
        </w:tc>
        <w:tc>
          <w:tcPr>
            <w:tcW w:w="1843" w:type="dxa"/>
            <w:tcBorders>
              <w:top w:val="nil"/>
              <w:left w:val="nil"/>
              <w:bottom w:val="single" w:sz="8" w:space="0" w:color="auto"/>
              <w:right w:val="single" w:sz="8" w:space="0" w:color="auto"/>
            </w:tcBorders>
            <w:shd w:val="clear" w:color="auto" w:fill="auto"/>
            <w:vAlign w:val="center"/>
          </w:tcPr>
          <w:p w14:paraId="149A71AE" w14:textId="1A899DAB" w:rsidR="00A648E4" w:rsidRPr="00E65AA8" w:rsidRDefault="000C1C4C" w:rsidP="00E65AA8">
            <w:pPr>
              <w:jc w:val="right"/>
              <w:rPr>
                <w:rFonts w:cs="Arial"/>
              </w:rPr>
            </w:pPr>
            <w:r>
              <w:rPr>
                <w:rFonts w:cs="Arial"/>
              </w:rPr>
              <w:t>297</w:t>
            </w:r>
          </w:p>
        </w:tc>
      </w:tr>
      <w:tr w:rsidR="00A648E4" w:rsidRPr="00E65AA8" w14:paraId="0719C901" w14:textId="77777777" w:rsidTr="00DE6A6E">
        <w:tc>
          <w:tcPr>
            <w:tcW w:w="4219" w:type="dxa"/>
            <w:shd w:val="clear" w:color="auto" w:fill="auto"/>
          </w:tcPr>
          <w:p w14:paraId="3C08D055" w14:textId="77777777" w:rsidR="00A648E4" w:rsidRPr="00E65AA8" w:rsidRDefault="00A648E4" w:rsidP="00E65AA8">
            <w:r w:rsidRPr="00E65AA8">
              <w:t>Planning income</w:t>
            </w:r>
          </w:p>
        </w:tc>
        <w:tc>
          <w:tcPr>
            <w:tcW w:w="1701" w:type="dxa"/>
            <w:tcBorders>
              <w:top w:val="nil"/>
              <w:left w:val="nil"/>
              <w:bottom w:val="single" w:sz="8" w:space="0" w:color="auto"/>
              <w:right w:val="single" w:sz="8" w:space="0" w:color="auto"/>
            </w:tcBorders>
            <w:shd w:val="clear" w:color="auto" w:fill="auto"/>
            <w:vAlign w:val="center"/>
          </w:tcPr>
          <w:p w14:paraId="392D2B11" w14:textId="479A10E4" w:rsidR="00A648E4" w:rsidRPr="00E65AA8" w:rsidRDefault="000C1C4C" w:rsidP="00E65AA8">
            <w:pPr>
              <w:jc w:val="right"/>
              <w:rPr>
                <w:rFonts w:cs="Arial"/>
              </w:rPr>
            </w:pPr>
            <w:r>
              <w:rPr>
                <w:rFonts w:cs="Arial"/>
              </w:rPr>
              <w:t>2,253</w:t>
            </w:r>
          </w:p>
        </w:tc>
        <w:tc>
          <w:tcPr>
            <w:tcW w:w="1843" w:type="dxa"/>
            <w:tcBorders>
              <w:top w:val="nil"/>
              <w:left w:val="nil"/>
              <w:bottom w:val="single" w:sz="8" w:space="0" w:color="auto"/>
              <w:right w:val="single" w:sz="8" w:space="0" w:color="auto"/>
            </w:tcBorders>
            <w:shd w:val="clear" w:color="auto" w:fill="auto"/>
            <w:vAlign w:val="center"/>
          </w:tcPr>
          <w:p w14:paraId="14D9EB05" w14:textId="3D0418E5" w:rsidR="00A648E4" w:rsidRPr="00E65AA8" w:rsidRDefault="000C1C4C" w:rsidP="00E65AA8">
            <w:pPr>
              <w:jc w:val="right"/>
              <w:rPr>
                <w:rFonts w:cs="Arial"/>
              </w:rPr>
            </w:pPr>
            <w:r>
              <w:rPr>
                <w:rFonts w:cs="Arial"/>
              </w:rPr>
              <w:t>225</w:t>
            </w:r>
          </w:p>
        </w:tc>
      </w:tr>
      <w:tr w:rsidR="00A648E4" w:rsidRPr="00E65AA8" w14:paraId="10FCF041" w14:textId="77777777" w:rsidTr="00DE6A6E">
        <w:tc>
          <w:tcPr>
            <w:tcW w:w="4219" w:type="dxa"/>
            <w:shd w:val="clear" w:color="auto" w:fill="auto"/>
          </w:tcPr>
          <w:p w14:paraId="0340E8F5" w14:textId="77777777" w:rsidR="00A648E4" w:rsidRPr="00E65AA8" w:rsidRDefault="00A648E4" w:rsidP="00E65AA8">
            <w:pPr>
              <w:rPr>
                <w:b/>
              </w:rPr>
            </w:pPr>
            <w:r w:rsidRPr="00E65AA8">
              <w:rPr>
                <w:b/>
              </w:rPr>
              <w:t>Total</w:t>
            </w:r>
          </w:p>
        </w:tc>
        <w:tc>
          <w:tcPr>
            <w:tcW w:w="1701" w:type="dxa"/>
            <w:tcBorders>
              <w:top w:val="nil"/>
              <w:left w:val="nil"/>
              <w:bottom w:val="single" w:sz="8" w:space="0" w:color="auto"/>
              <w:right w:val="single" w:sz="8" w:space="0" w:color="auto"/>
            </w:tcBorders>
            <w:shd w:val="clear" w:color="auto" w:fill="auto"/>
            <w:vAlign w:val="center"/>
          </w:tcPr>
          <w:p w14:paraId="6C35BE51" w14:textId="7C86DBDB" w:rsidR="00A648E4" w:rsidRPr="00E65AA8" w:rsidRDefault="000C1C4C" w:rsidP="00E65AA8">
            <w:pPr>
              <w:jc w:val="right"/>
              <w:rPr>
                <w:rFonts w:cs="Arial"/>
                <w:b/>
                <w:bCs/>
              </w:rPr>
            </w:pPr>
            <w:r>
              <w:rPr>
                <w:rFonts w:cs="Arial"/>
                <w:b/>
                <w:bCs/>
              </w:rPr>
              <w:t>48,460</w:t>
            </w:r>
          </w:p>
        </w:tc>
        <w:tc>
          <w:tcPr>
            <w:tcW w:w="1843" w:type="dxa"/>
            <w:tcBorders>
              <w:top w:val="nil"/>
              <w:left w:val="nil"/>
              <w:bottom w:val="single" w:sz="8" w:space="0" w:color="auto"/>
              <w:right w:val="single" w:sz="8" w:space="0" w:color="auto"/>
            </w:tcBorders>
            <w:shd w:val="clear" w:color="auto" w:fill="auto"/>
            <w:vAlign w:val="center"/>
          </w:tcPr>
          <w:p w14:paraId="64D315EC" w14:textId="613BEFC4" w:rsidR="00A648E4" w:rsidRPr="00E65AA8" w:rsidRDefault="000C1C4C" w:rsidP="00E65AA8">
            <w:pPr>
              <w:jc w:val="right"/>
              <w:rPr>
                <w:rFonts w:cs="Arial"/>
                <w:b/>
                <w:bCs/>
              </w:rPr>
            </w:pPr>
            <w:r>
              <w:rPr>
                <w:rFonts w:cs="Arial"/>
                <w:b/>
                <w:bCs/>
              </w:rPr>
              <w:t>4,845</w:t>
            </w: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3: Sensitivity Analysis"/>
      </w:tblPr>
      <w:tblGrid>
        <w:gridCol w:w="4219"/>
        <w:gridCol w:w="1701"/>
        <w:gridCol w:w="1843"/>
      </w:tblGrid>
      <w:tr w:rsidR="00973790" w:rsidRPr="00E65AA8" w14:paraId="2F3E6AC7" w14:textId="77777777" w:rsidTr="00A648E4">
        <w:tc>
          <w:tcPr>
            <w:tcW w:w="4219" w:type="dxa"/>
            <w:shd w:val="clear" w:color="auto" w:fill="auto"/>
          </w:tcPr>
          <w:p w14:paraId="070DF8DF" w14:textId="417481FC" w:rsidR="00973790" w:rsidRPr="00E65AA8" w:rsidRDefault="00973790" w:rsidP="00E65AA8"/>
        </w:tc>
        <w:tc>
          <w:tcPr>
            <w:tcW w:w="1701" w:type="dxa"/>
            <w:shd w:val="clear" w:color="auto" w:fill="auto"/>
            <w:vAlign w:val="center"/>
          </w:tcPr>
          <w:p w14:paraId="3E1143AD" w14:textId="72B5BF30" w:rsidR="00973790" w:rsidRPr="00E65AA8" w:rsidRDefault="00973790" w:rsidP="00E65AA8">
            <w:pPr>
              <w:jc w:val="right"/>
            </w:pPr>
          </w:p>
        </w:tc>
        <w:tc>
          <w:tcPr>
            <w:tcW w:w="1843" w:type="dxa"/>
            <w:shd w:val="clear" w:color="auto" w:fill="auto"/>
            <w:vAlign w:val="center"/>
          </w:tcPr>
          <w:p w14:paraId="375E1452" w14:textId="39CC6E71" w:rsidR="00973790" w:rsidRPr="00E65AA8" w:rsidRDefault="00973790" w:rsidP="00E65AA8">
            <w:pPr>
              <w:jc w:val="right"/>
            </w:pPr>
          </w:p>
        </w:tc>
      </w:tr>
    </w:tbl>
    <w:p w14:paraId="2D583744" w14:textId="77777777" w:rsidR="00150DF7" w:rsidRPr="00DD6492" w:rsidRDefault="00150DF7" w:rsidP="00DE6A6E">
      <w:pPr>
        <w:rPr>
          <w:b/>
        </w:rPr>
      </w:pPr>
      <w:r w:rsidRPr="00E65AA8">
        <w:rPr>
          <w:b/>
        </w:rPr>
        <w:t>Treasury Management</w:t>
      </w:r>
    </w:p>
    <w:p w14:paraId="2C4CF403" w14:textId="021F93BE" w:rsidR="006F5838" w:rsidRPr="00F0450B" w:rsidRDefault="008B6E43" w:rsidP="00DE6A6E">
      <w:pPr>
        <w:pStyle w:val="bParagraphtext"/>
        <w:numPr>
          <w:ilvl w:val="0"/>
          <w:numId w:val="12"/>
        </w:numPr>
        <w:tabs>
          <w:tab w:val="clear" w:pos="426"/>
        </w:tabs>
        <w:ind w:left="567" w:hanging="567"/>
      </w:pPr>
      <w:r w:rsidRPr="00DD6492">
        <w:t xml:space="preserve">Reserves and Balances are an essential part of cash balances on which the Treasury function is based. Whilst waiting to be used they will attract interest </w:t>
      </w:r>
      <w:r w:rsidR="00C27F94" w:rsidRPr="00DD6492">
        <w:t xml:space="preserve">of </w:t>
      </w:r>
      <w:r w:rsidR="00DD6492" w:rsidRPr="00DD6492">
        <w:t xml:space="preserve">currently </w:t>
      </w:r>
      <w:r w:rsidR="00C27F94" w:rsidRPr="00DD6492">
        <w:t xml:space="preserve">around </w:t>
      </w:r>
      <w:r w:rsidR="002C5ED0">
        <w:t>3</w:t>
      </w:r>
      <w:r w:rsidRPr="00DD6492">
        <w:t xml:space="preserve">% </w:t>
      </w:r>
      <w:r w:rsidR="00C27F94" w:rsidRPr="00DD6492">
        <w:t xml:space="preserve">per </w:t>
      </w:r>
      <w:r w:rsidRPr="00DD6492">
        <w:t>annum depending how they are invested. Longer term investments such as property funds and lending to companies including the Council’s wholly owned companies will attract interest in the region of 5%</w:t>
      </w:r>
      <w:r w:rsidR="00DE6A6E">
        <w:t>,</w:t>
      </w:r>
      <w:r w:rsidRPr="00DD6492">
        <w:t xml:space="preserve"> </w:t>
      </w:r>
      <w:r w:rsidRPr="00F0450B">
        <w:t xml:space="preserve">while investments held for short term liquidity purposes will be at the lower end. </w:t>
      </w:r>
    </w:p>
    <w:p w14:paraId="1F39D56F" w14:textId="1073A3FD" w:rsidR="008B6E43" w:rsidRPr="00CD199C" w:rsidRDefault="008B6E43" w:rsidP="00CD199C">
      <w:pPr>
        <w:pStyle w:val="bParagraphtext"/>
        <w:numPr>
          <w:ilvl w:val="0"/>
          <w:numId w:val="12"/>
        </w:numPr>
        <w:tabs>
          <w:tab w:val="clear" w:pos="426"/>
        </w:tabs>
        <w:ind w:left="567" w:hanging="567"/>
      </w:pPr>
      <w:r w:rsidRPr="00F0450B">
        <w:t xml:space="preserve">The budget for investment </w:t>
      </w:r>
      <w:r w:rsidR="00F0450B" w:rsidRPr="00F0450B">
        <w:t xml:space="preserve">net </w:t>
      </w:r>
      <w:r w:rsidRPr="00F0450B">
        <w:t>interest f</w:t>
      </w:r>
      <w:r w:rsidR="00C27F94" w:rsidRPr="00F0450B">
        <w:t xml:space="preserve">rom </w:t>
      </w:r>
      <w:r w:rsidR="00F0450B" w:rsidRPr="00F0450B">
        <w:t xml:space="preserve">company lending, HRA and investments is </w:t>
      </w:r>
      <w:r w:rsidR="00C27F94" w:rsidRPr="00F0450B">
        <w:t>£</w:t>
      </w:r>
      <w:r w:rsidR="00DE6A6E">
        <w:t>6.</w:t>
      </w:r>
      <w:r w:rsidR="00F0450B" w:rsidRPr="00F0450B">
        <w:t>5</w:t>
      </w:r>
      <w:r w:rsidRPr="00F0450B">
        <w:t xml:space="preserve"> million per annum. Reserves and balances can also be ‘internally borrowed’ essentially deferring the need to borrow externally to meet </w:t>
      </w:r>
      <w:r w:rsidRPr="00F0450B">
        <w:lastRenderedPageBreak/>
        <w:t xml:space="preserve">capital commitments. Such borrowing is currently cheaper than accessing </w:t>
      </w:r>
      <w:r w:rsidRPr="00CD199C">
        <w:t>external borrowing sources such as the Public Works Loan Board (PWLB).</w:t>
      </w:r>
    </w:p>
    <w:p w14:paraId="71D29FDD" w14:textId="351725AD" w:rsidR="00150DF7" w:rsidRPr="00CD199C" w:rsidRDefault="00150DF7" w:rsidP="00CD199C">
      <w:pPr>
        <w:rPr>
          <w:b/>
        </w:rPr>
      </w:pPr>
      <w:r w:rsidRPr="00CD199C">
        <w:rPr>
          <w:b/>
        </w:rPr>
        <w:t>Progress on the 20</w:t>
      </w:r>
      <w:r w:rsidR="00695C70" w:rsidRPr="00CD199C">
        <w:rPr>
          <w:b/>
        </w:rPr>
        <w:t>2</w:t>
      </w:r>
      <w:r w:rsidR="00CD199C" w:rsidRPr="00CD199C">
        <w:rPr>
          <w:b/>
        </w:rPr>
        <w:t>3</w:t>
      </w:r>
      <w:r w:rsidRPr="00CD199C">
        <w:rPr>
          <w:b/>
        </w:rPr>
        <w:t>/2</w:t>
      </w:r>
      <w:r w:rsidR="00CD199C" w:rsidRPr="00CD199C">
        <w:rPr>
          <w:b/>
        </w:rPr>
        <w:t>4</w:t>
      </w:r>
      <w:r w:rsidRPr="00CD199C">
        <w:rPr>
          <w:b/>
        </w:rPr>
        <w:t xml:space="preserve"> Budget</w:t>
      </w:r>
    </w:p>
    <w:p w14:paraId="24E43B81" w14:textId="0ABEC183" w:rsidR="00A648E4" w:rsidRPr="002327AF" w:rsidRDefault="00150DF7" w:rsidP="00CD199C">
      <w:pPr>
        <w:pStyle w:val="bParagraphtext"/>
        <w:numPr>
          <w:ilvl w:val="0"/>
          <w:numId w:val="12"/>
        </w:numPr>
        <w:tabs>
          <w:tab w:val="clear" w:pos="426"/>
        </w:tabs>
        <w:ind w:left="567" w:hanging="567"/>
        <w:rPr>
          <w:b/>
        </w:rPr>
      </w:pPr>
      <w:r w:rsidRPr="00CD199C">
        <w:t xml:space="preserve">Budget monitoring for the </w:t>
      </w:r>
      <w:r w:rsidR="008B6E43" w:rsidRPr="00CD199C">
        <w:t>6 months</w:t>
      </w:r>
      <w:r w:rsidRPr="00CD199C">
        <w:t xml:space="preserve"> ending 31 December 20</w:t>
      </w:r>
      <w:r w:rsidR="00344471" w:rsidRPr="00CD199C">
        <w:t>2</w:t>
      </w:r>
      <w:r w:rsidR="00CD199C" w:rsidRPr="00CD199C">
        <w:t>3</w:t>
      </w:r>
      <w:r w:rsidRPr="00CD199C">
        <w:t xml:space="preserve"> indicates </w:t>
      </w:r>
      <w:r w:rsidR="00695C70" w:rsidRPr="00CD199C">
        <w:t>a</w:t>
      </w:r>
      <w:r w:rsidR="00344471" w:rsidRPr="00CD199C">
        <w:t xml:space="preserve">n </w:t>
      </w:r>
      <w:proofErr w:type="spellStart"/>
      <w:r w:rsidR="00344471" w:rsidRPr="00CD199C">
        <w:t>outurn</w:t>
      </w:r>
      <w:proofErr w:type="spellEnd"/>
      <w:r w:rsidR="00695C70" w:rsidRPr="00CD199C">
        <w:t xml:space="preserve"> budget deficit of </w:t>
      </w:r>
      <w:r w:rsidR="00A648E4" w:rsidRPr="00CD199C">
        <w:t xml:space="preserve">around </w:t>
      </w:r>
      <w:r w:rsidR="00695C70" w:rsidRPr="00CD199C">
        <w:t>£</w:t>
      </w:r>
      <w:r w:rsidR="00CD199C" w:rsidRPr="00CD199C">
        <w:t>1</w:t>
      </w:r>
      <w:r w:rsidR="00344471" w:rsidRPr="00CD199C">
        <w:t>.</w:t>
      </w:r>
      <w:r w:rsidR="00CD199C" w:rsidRPr="00CD199C">
        <w:t>0</w:t>
      </w:r>
      <w:r w:rsidR="00344471" w:rsidRPr="00CD199C">
        <w:t>00</w:t>
      </w:r>
      <w:r w:rsidR="00695C70" w:rsidRPr="00CD199C">
        <w:t xml:space="preserve"> million. </w:t>
      </w:r>
      <w:r w:rsidR="00344471" w:rsidRPr="00CD199C">
        <w:t xml:space="preserve">If </w:t>
      </w:r>
      <w:proofErr w:type="spellStart"/>
      <w:r w:rsidR="00344471" w:rsidRPr="00CD199C">
        <w:t>outurn</w:t>
      </w:r>
      <w:proofErr w:type="spellEnd"/>
      <w:r w:rsidR="00344471" w:rsidRPr="00CD199C">
        <w:t xml:space="preserve"> remains at this figure this deficit wi</w:t>
      </w:r>
      <w:r w:rsidR="00695C70" w:rsidRPr="00CD199C">
        <w:t>ll need to be met from reserves</w:t>
      </w:r>
      <w:r w:rsidR="00695C70" w:rsidRPr="002327AF">
        <w:t xml:space="preserve"> and balances referred to in this report. </w:t>
      </w:r>
    </w:p>
    <w:p w14:paraId="52BD02A8" w14:textId="62CB9695" w:rsidR="00150DF7" w:rsidRPr="00E65AA8" w:rsidRDefault="00150DF7" w:rsidP="00E65AA8">
      <w:pPr>
        <w:pStyle w:val="bParagraphtext"/>
        <w:tabs>
          <w:tab w:val="clear" w:pos="426"/>
        </w:tabs>
        <w:ind w:left="567"/>
        <w:rPr>
          <w:b/>
        </w:rPr>
      </w:pPr>
      <w:r w:rsidRPr="00E65AA8">
        <w:rPr>
          <w:b/>
        </w:rPr>
        <w:t xml:space="preserve">Conclusion </w:t>
      </w:r>
    </w:p>
    <w:p w14:paraId="381BBE8C" w14:textId="1C6672DE" w:rsidR="00B15CD0" w:rsidRPr="00E65AA8" w:rsidRDefault="008B6E43" w:rsidP="00E65AA8">
      <w:pPr>
        <w:pStyle w:val="bParagraphtext"/>
        <w:numPr>
          <w:ilvl w:val="0"/>
          <w:numId w:val="12"/>
        </w:numPr>
        <w:tabs>
          <w:tab w:val="clear" w:pos="426"/>
        </w:tabs>
        <w:ind w:left="567" w:hanging="567"/>
      </w:pPr>
      <w:r w:rsidRPr="00E65AA8">
        <w:t>I have reviewed the budget preparation process for 202</w:t>
      </w:r>
      <w:r w:rsidR="00DE6A6E" w:rsidRPr="00E65AA8">
        <w:t>4</w:t>
      </w:r>
      <w:r w:rsidRPr="00E65AA8">
        <w:t>-2</w:t>
      </w:r>
      <w:r w:rsidR="00DE6A6E" w:rsidRPr="00E65AA8">
        <w:t>5</w:t>
      </w:r>
      <w:r w:rsidRPr="00E65AA8">
        <w:t xml:space="preserve"> to 202</w:t>
      </w:r>
      <w:r w:rsidR="00DE6A6E" w:rsidRPr="00E65AA8">
        <w:t>7</w:t>
      </w:r>
      <w:r w:rsidRPr="00E65AA8">
        <w:t>-2</w:t>
      </w:r>
      <w:r w:rsidR="00DE6A6E" w:rsidRPr="00E65AA8">
        <w:t>8</w:t>
      </w:r>
      <w:r w:rsidRPr="00E65AA8">
        <w:t xml:space="preserve"> and the level of reserves and balances. The Council still faces significant financial </w:t>
      </w:r>
      <w:r w:rsidR="00B15CD0" w:rsidRPr="00E65AA8">
        <w:t xml:space="preserve">challenges in a number of areas </w:t>
      </w:r>
      <w:proofErr w:type="gramStart"/>
      <w:r w:rsidR="00B15CD0" w:rsidRPr="00E65AA8">
        <w:t>including</w:t>
      </w:r>
      <w:proofErr w:type="gramEnd"/>
      <w:r w:rsidR="00B15CD0" w:rsidRPr="00E65AA8">
        <w:t xml:space="preserve"> </w:t>
      </w:r>
    </w:p>
    <w:p w14:paraId="1B69E0B2" w14:textId="22DAE21C" w:rsidR="00B15CD0" w:rsidRPr="00E65AA8" w:rsidRDefault="008B6E43" w:rsidP="00E65AA8">
      <w:pPr>
        <w:pStyle w:val="bParagraphtext"/>
        <w:numPr>
          <w:ilvl w:val="0"/>
          <w:numId w:val="9"/>
        </w:numPr>
        <w:ind w:hanging="513"/>
      </w:pPr>
      <w:r w:rsidRPr="00E65AA8">
        <w:rPr>
          <w:b/>
        </w:rPr>
        <w:t>Business Rates Retention</w:t>
      </w:r>
      <w:r w:rsidRPr="00E65AA8">
        <w:t xml:space="preserve"> </w:t>
      </w:r>
      <w:r w:rsidR="00B15CD0" w:rsidRPr="00E65AA8">
        <w:t xml:space="preserve">– </w:t>
      </w:r>
      <w:r w:rsidR="00DE6A6E" w:rsidRPr="00E65AA8">
        <w:t>no further announcements were made by the</w:t>
      </w:r>
      <w:r w:rsidR="00B15CD0" w:rsidRPr="00E65AA8">
        <w:t xml:space="preserve"> Government </w:t>
      </w:r>
      <w:r w:rsidR="00DE6A6E" w:rsidRPr="00E65AA8">
        <w:t>in the Provisional Finance Settlement about business rates reset and fairer funding and the authority must therefore assume that this will be implemented as planned in 2025-26. Provision has been made in the budget for this although in reality</w:t>
      </w:r>
      <w:r w:rsidR="00B15CD0" w:rsidRPr="00E65AA8">
        <w:t xml:space="preserve"> it is still no clearer how this will </w:t>
      </w:r>
      <w:r w:rsidR="00FC4048" w:rsidRPr="00E65AA8">
        <w:t>a</w:t>
      </w:r>
      <w:r w:rsidR="00B15CD0" w:rsidRPr="00E65AA8">
        <w:t xml:space="preserve">ffect the </w:t>
      </w:r>
      <w:proofErr w:type="gramStart"/>
      <w:r w:rsidR="00B15CD0" w:rsidRPr="00E65AA8">
        <w:t>authority</w:t>
      </w:r>
      <w:proofErr w:type="gramEnd"/>
      <w:r w:rsidR="00A648E4" w:rsidRPr="00E65AA8">
        <w:t xml:space="preserve"> </w:t>
      </w:r>
    </w:p>
    <w:p w14:paraId="47DDCC5A" w14:textId="19818A15" w:rsidR="00B15CD0" w:rsidRPr="00E65AA8" w:rsidRDefault="004F7E55" w:rsidP="00E65AA8">
      <w:pPr>
        <w:pStyle w:val="bParagraphtext"/>
        <w:numPr>
          <w:ilvl w:val="0"/>
          <w:numId w:val="9"/>
        </w:numPr>
        <w:ind w:hanging="513"/>
      </w:pPr>
      <w:r w:rsidRPr="00E65AA8">
        <w:rPr>
          <w:b/>
        </w:rPr>
        <w:t>P</w:t>
      </w:r>
      <w:r w:rsidR="008B6E43" w:rsidRPr="00E65AA8">
        <w:rPr>
          <w:b/>
        </w:rPr>
        <w:t>ressures around income streams</w:t>
      </w:r>
      <w:r w:rsidR="008B6E43" w:rsidRPr="00E65AA8">
        <w:t xml:space="preserve"> especially </w:t>
      </w:r>
      <w:r w:rsidR="00695C70" w:rsidRPr="00E65AA8">
        <w:t xml:space="preserve">commercial rents brought </w:t>
      </w:r>
      <w:r w:rsidR="00DE6A6E" w:rsidRPr="00E65AA8">
        <w:t>and car parking income</w:t>
      </w:r>
      <w:r w:rsidR="008B6E43" w:rsidRPr="00E65AA8">
        <w:t xml:space="preserve">. </w:t>
      </w:r>
      <w:r w:rsidR="00695C70" w:rsidRPr="00E65AA8">
        <w:t>Prudent estimates have been made of the likely estimated position of these income streams</w:t>
      </w:r>
      <w:r w:rsidR="00DE6A6E" w:rsidRPr="00E65AA8">
        <w:t>.</w:t>
      </w:r>
      <w:r w:rsidR="00695C70" w:rsidRPr="00E65AA8">
        <w:t xml:space="preserve"> </w:t>
      </w:r>
    </w:p>
    <w:p w14:paraId="3F7C6951" w14:textId="6921922B" w:rsidR="00B15CD0" w:rsidRPr="00E65AA8" w:rsidRDefault="00B15CD0" w:rsidP="00E65AA8">
      <w:pPr>
        <w:pStyle w:val="bParagraphtext"/>
        <w:numPr>
          <w:ilvl w:val="0"/>
          <w:numId w:val="9"/>
        </w:numPr>
        <w:ind w:hanging="513"/>
      </w:pPr>
      <w:r w:rsidRPr="00E65AA8">
        <w:rPr>
          <w:b/>
        </w:rPr>
        <w:t>The success of the council</w:t>
      </w:r>
      <w:r w:rsidR="00664A87" w:rsidRPr="00E65AA8">
        <w:rPr>
          <w:b/>
        </w:rPr>
        <w:t>’</w:t>
      </w:r>
      <w:r w:rsidRPr="00E65AA8">
        <w:rPr>
          <w:b/>
        </w:rPr>
        <w:t>s wholly owned companies</w:t>
      </w:r>
      <w:r w:rsidRPr="00E65AA8">
        <w:t xml:space="preserve"> will be key to its financial success with </w:t>
      </w:r>
      <w:r w:rsidR="00A1061E" w:rsidRPr="00E65AA8">
        <w:t>returns</w:t>
      </w:r>
      <w:r w:rsidRPr="00E65AA8">
        <w:t xml:space="preserve"> and dividend over the MTFS of around </w:t>
      </w:r>
      <w:r w:rsidR="00104892" w:rsidRPr="00E65AA8">
        <w:t>£</w:t>
      </w:r>
      <w:r w:rsidR="00DE6A6E" w:rsidRPr="00E65AA8">
        <w:t>3</w:t>
      </w:r>
      <w:r w:rsidR="002327AF" w:rsidRPr="00E65AA8">
        <w:t>7</w:t>
      </w:r>
      <w:r w:rsidR="00104892" w:rsidRPr="00E65AA8">
        <w:t xml:space="preserve"> million</w:t>
      </w:r>
      <w:r w:rsidRPr="00E65AA8">
        <w:t xml:space="preserve">. The </w:t>
      </w:r>
      <w:r w:rsidR="00104892" w:rsidRPr="00E65AA8">
        <w:t>performance</w:t>
      </w:r>
      <w:r w:rsidRPr="00E65AA8">
        <w:t xml:space="preserve"> of these companies will need to be closely </w:t>
      </w:r>
      <w:r w:rsidR="00104892" w:rsidRPr="00E65AA8">
        <w:t>monitored.</w:t>
      </w:r>
    </w:p>
    <w:p w14:paraId="22E12D5B" w14:textId="25DC0418" w:rsidR="00B15CD0" w:rsidRPr="00E65AA8" w:rsidRDefault="00DE6A6E" w:rsidP="00E65AA8">
      <w:pPr>
        <w:pStyle w:val="bParagraphtext"/>
        <w:numPr>
          <w:ilvl w:val="0"/>
          <w:numId w:val="9"/>
        </w:numPr>
        <w:ind w:hanging="513"/>
      </w:pPr>
      <w:r w:rsidRPr="00E65AA8">
        <w:rPr>
          <w:b/>
        </w:rPr>
        <w:t>E</w:t>
      </w:r>
      <w:r w:rsidR="004F7E55" w:rsidRPr="00E65AA8">
        <w:rPr>
          <w:b/>
        </w:rPr>
        <w:t>fficienc</w:t>
      </w:r>
      <w:r w:rsidRPr="00E65AA8">
        <w:rPr>
          <w:b/>
        </w:rPr>
        <w:t>ies and increased income</w:t>
      </w:r>
      <w:r w:rsidR="004F7E55" w:rsidRPr="00E65AA8">
        <w:rPr>
          <w:b/>
        </w:rPr>
        <w:t xml:space="preserve"> changes</w:t>
      </w:r>
      <w:r w:rsidR="004F7E55" w:rsidRPr="00E65AA8">
        <w:t xml:space="preserve"> – the C</w:t>
      </w:r>
      <w:r w:rsidR="00B15CD0" w:rsidRPr="00E65AA8">
        <w:t xml:space="preserve">ouncils </w:t>
      </w:r>
      <w:r w:rsidRPr="00E65AA8">
        <w:t xml:space="preserve">plans to increase efficiencies and increased income by another </w:t>
      </w:r>
      <w:r w:rsidR="00B15CD0" w:rsidRPr="00E65AA8">
        <w:t>£</w:t>
      </w:r>
      <w:r w:rsidRPr="00E65AA8">
        <w:t>11</w:t>
      </w:r>
      <w:r w:rsidR="00104892" w:rsidRPr="00E65AA8">
        <w:t>.</w:t>
      </w:r>
      <w:r w:rsidRPr="00E65AA8">
        <w:t>6</w:t>
      </w:r>
      <w:r w:rsidR="00104892" w:rsidRPr="00E65AA8">
        <w:t xml:space="preserve"> million </w:t>
      </w:r>
      <w:r w:rsidR="00B15CD0" w:rsidRPr="00E65AA8">
        <w:t>by 202</w:t>
      </w:r>
      <w:r w:rsidRPr="00E65AA8">
        <w:t>7</w:t>
      </w:r>
      <w:r w:rsidR="00B15CD0" w:rsidRPr="00E65AA8">
        <w:t>-2</w:t>
      </w:r>
      <w:r w:rsidRPr="00E65AA8">
        <w:t>8</w:t>
      </w:r>
      <w:r w:rsidR="00B15CD0" w:rsidRPr="00E65AA8">
        <w:t xml:space="preserve"> </w:t>
      </w:r>
      <w:r w:rsidR="00E65AA8" w:rsidRPr="00E65AA8">
        <w:t xml:space="preserve">which </w:t>
      </w:r>
      <w:r w:rsidR="00B15CD0" w:rsidRPr="00E65AA8">
        <w:t xml:space="preserve">will need close </w:t>
      </w:r>
      <w:r w:rsidR="00104892" w:rsidRPr="00E65AA8">
        <w:t>monitoring</w:t>
      </w:r>
      <w:r w:rsidR="00B15CD0" w:rsidRPr="00E65AA8">
        <w:t xml:space="preserve"> </w:t>
      </w:r>
      <w:r w:rsidR="00D16F0A" w:rsidRPr="00E65AA8">
        <w:t>t</w:t>
      </w:r>
      <w:r w:rsidR="00B15CD0" w:rsidRPr="00E65AA8">
        <w:t xml:space="preserve">o </w:t>
      </w:r>
      <w:r w:rsidR="00104892" w:rsidRPr="00E65AA8">
        <w:t>ensure</w:t>
      </w:r>
      <w:r w:rsidR="00B15CD0" w:rsidRPr="00E65AA8">
        <w:t xml:space="preserve"> delivery. </w:t>
      </w:r>
    </w:p>
    <w:p w14:paraId="3395C93C" w14:textId="00553A52" w:rsidR="008B6E43" w:rsidRPr="00CD199C" w:rsidRDefault="008B6E43" w:rsidP="00CD199C">
      <w:pPr>
        <w:pStyle w:val="bParagraphtext"/>
        <w:numPr>
          <w:ilvl w:val="0"/>
          <w:numId w:val="12"/>
        </w:numPr>
        <w:tabs>
          <w:tab w:val="clear" w:pos="426"/>
        </w:tabs>
        <w:ind w:left="567" w:hanging="567"/>
      </w:pPr>
      <w:r w:rsidRPr="00E65AA8">
        <w:t>In relation to the HRA, there is a significant increase in borrowing to facilitate affordable housing purchases from the Council’s wholly owned company although analysis would suggest that these purchases are financially viable in terms of Internal Rate of Return</w:t>
      </w:r>
      <w:r w:rsidR="00D16F0A" w:rsidRPr="00E65AA8">
        <w:t xml:space="preserve">, Payback and Net Present Value and following an external strategic review of the HRA Business Plan measures have been introduced to </w:t>
      </w:r>
      <w:r w:rsidR="00346115" w:rsidRPr="00E65AA8">
        <w:t xml:space="preserve">ensure that this borrowing remains affordable. </w:t>
      </w:r>
      <w:r w:rsidR="00E65AA8" w:rsidRPr="00E65AA8">
        <w:t xml:space="preserve">Increased spend on decent homes, </w:t>
      </w:r>
      <w:r w:rsidR="00E65AA8" w:rsidRPr="00CD199C">
        <w:t>carbon retrofit and new requirements from the housing regulator will put additional pressures on the HRA which will require careful management.</w:t>
      </w:r>
    </w:p>
    <w:p w14:paraId="24F9B7BF" w14:textId="2906D288" w:rsidR="00CA6029" w:rsidRPr="00CD199C" w:rsidRDefault="00A1061E" w:rsidP="00CD199C">
      <w:pPr>
        <w:pStyle w:val="bParagraphtext"/>
        <w:numPr>
          <w:ilvl w:val="0"/>
          <w:numId w:val="12"/>
        </w:numPr>
        <w:tabs>
          <w:tab w:val="clear" w:pos="426"/>
        </w:tabs>
        <w:ind w:left="567" w:hanging="567"/>
      </w:pPr>
      <w:r w:rsidRPr="00CD199C">
        <w:t xml:space="preserve">The level of </w:t>
      </w:r>
      <w:proofErr w:type="spellStart"/>
      <w:r w:rsidR="001C534B" w:rsidRPr="00CD199C">
        <w:t>unringfenced</w:t>
      </w:r>
      <w:proofErr w:type="spellEnd"/>
      <w:r w:rsidR="001C534B" w:rsidRPr="00CD199C">
        <w:t xml:space="preserve"> </w:t>
      </w:r>
      <w:r w:rsidRPr="00CD199C">
        <w:t>reserve</w:t>
      </w:r>
      <w:r w:rsidR="00346115" w:rsidRPr="00CD199C">
        <w:t>s</w:t>
      </w:r>
      <w:r w:rsidRPr="00CD199C">
        <w:t xml:space="preserve"> wi</w:t>
      </w:r>
      <w:r w:rsidR="00EF1F46" w:rsidRPr="00CD199C">
        <w:t>l</w:t>
      </w:r>
      <w:r w:rsidRPr="00CD199C">
        <w:t xml:space="preserve">l fall by </w:t>
      </w:r>
      <w:r w:rsidR="00CD199C" w:rsidRPr="00CD199C">
        <w:t>40</w:t>
      </w:r>
      <w:r w:rsidRPr="00CD199C">
        <w:t xml:space="preserve">% between </w:t>
      </w:r>
      <w:r w:rsidR="00CD199C" w:rsidRPr="00CD199C">
        <w:t>1-4-2023</w:t>
      </w:r>
      <w:r w:rsidRPr="00CD199C">
        <w:t xml:space="preserve"> and </w:t>
      </w:r>
      <w:r w:rsidR="00CD199C" w:rsidRPr="00CD199C">
        <w:t>1-4-2025</w:t>
      </w:r>
      <w:r w:rsidRPr="00CD199C">
        <w:t xml:space="preserve"> to amount of £</w:t>
      </w:r>
      <w:r w:rsidR="00CD199C" w:rsidRPr="00CD199C">
        <w:t>22</w:t>
      </w:r>
      <w:r w:rsidRPr="00CD199C">
        <w:t xml:space="preserve"> million. </w:t>
      </w:r>
    </w:p>
    <w:p w14:paraId="1B0AF19B" w14:textId="7E6C95CB" w:rsidR="006F5838" w:rsidRPr="00826BF4" w:rsidRDefault="00EF1F46" w:rsidP="00CD199C">
      <w:pPr>
        <w:pStyle w:val="bParagraphtext"/>
        <w:numPr>
          <w:ilvl w:val="0"/>
          <w:numId w:val="12"/>
        </w:numPr>
        <w:tabs>
          <w:tab w:val="clear" w:pos="426"/>
        </w:tabs>
        <w:ind w:left="567" w:hanging="567"/>
      </w:pPr>
      <w:r w:rsidRPr="00CD199C">
        <w:t xml:space="preserve">The Head of Financial Services </w:t>
      </w:r>
      <w:r w:rsidR="00E65AA8" w:rsidRPr="00CD199C">
        <w:t xml:space="preserve">(Section 151 Officer) </w:t>
      </w:r>
      <w:r w:rsidRPr="00CD199C">
        <w:t>ha</w:t>
      </w:r>
      <w:r w:rsidR="00E65AA8" w:rsidRPr="00CD199C">
        <w:t>s</w:t>
      </w:r>
      <w:r w:rsidRPr="00CD199C">
        <w:t xml:space="preserve"> always reinforced the need for reasonable levels of reserves</w:t>
      </w:r>
      <w:r w:rsidRPr="00826BF4">
        <w:t xml:space="preserve"> especially given the </w:t>
      </w:r>
      <w:r w:rsidR="00344471" w:rsidRPr="00826BF4">
        <w:t xml:space="preserve">risks around the </w:t>
      </w:r>
      <w:r w:rsidRPr="00826BF4">
        <w:t>Oxford Model</w:t>
      </w:r>
      <w:r w:rsidR="00344471" w:rsidRPr="00826BF4">
        <w:t xml:space="preserve">. Whilst the Oxford Model does </w:t>
      </w:r>
      <w:r w:rsidRPr="00826BF4">
        <w:t xml:space="preserve">ensure </w:t>
      </w:r>
      <w:r w:rsidR="00344471" w:rsidRPr="00826BF4">
        <w:t xml:space="preserve">that services are maintained in the face of reductions in Government </w:t>
      </w:r>
      <w:r w:rsidRPr="00826BF4">
        <w:t>fund</w:t>
      </w:r>
      <w:r w:rsidR="00344471" w:rsidRPr="00826BF4">
        <w:t>ing</w:t>
      </w:r>
      <w:r w:rsidR="00826BF4" w:rsidRPr="00826BF4">
        <w:t>,</w:t>
      </w:r>
      <w:r w:rsidRPr="00826BF4">
        <w:t xml:space="preserve"> </w:t>
      </w:r>
      <w:r w:rsidR="00344471" w:rsidRPr="00826BF4">
        <w:t xml:space="preserve">it does so by using </w:t>
      </w:r>
      <w:r w:rsidRPr="00826BF4">
        <w:t>external</w:t>
      </w:r>
      <w:r w:rsidR="00344471" w:rsidRPr="00826BF4">
        <w:t>ly</w:t>
      </w:r>
      <w:r w:rsidRPr="00826BF4">
        <w:t xml:space="preserve"> generated income either from services provided </w:t>
      </w:r>
      <w:r w:rsidR="00344471" w:rsidRPr="00826BF4">
        <w:t xml:space="preserve">by the Council </w:t>
      </w:r>
      <w:r w:rsidRPr="00826BF4">
        <w:t xml:space="preserve">or from our wholly owned companies. The alternative is to reduce services and hence spend. </w:t>
      </w:r>
    </w:p>
    <w:p w14:paraId="0DE38B46" w14:textId="5F5BF3DA" w:rsidR="00A1061E" w:rsidRPr="00826BF4" w:rsidRDefault="00EF1F46" w:rsidP="00E65AA8">
      <w:pPr>
        <w:pStyle w:val="bParagraphtext"/>
        <w:numPr>
          <w:ilvl w:val="0"/>
          <w:numId w:val="12"/>
        </w:numPr>
        <w:tabs>
          <w:tab w:val="clear" w:pos="426"/>
        </w:tabs>
        <w:ind w:left="567" w:hanging="567"/>
      </w:pPr>
      <w:r w:rsidRPr="00826BF4">
        <w:lastRenderedPageBreak/>
        <w:t xml:space="preserve">Ideally </w:t>
      </w:r>
      <w:r w:rsidR="000F395E" w:rsidRPr="00826BF4">
        <w:t>these reserves should c</w:t>
      </w:r>
      <w:r w:rsidRPr="00826BF4">
        <w:t xml:space="preserve">onsider </w:t>
      </w:r>
      <w:r w:rsidR="00CA6029" w:rsidRPr="00826BF4">
        <w:t>top</w:t>
      </w:r>
      <w:r w:rsidR="000F395E" w:rsidRPr="00826BF4">
        <w:t>ping up</w:t>
      </w:r>
      <w:r w:rsidR="00CA6029" w:rsidRPr="00826BF4">
        <w:t xml:space="preserve"> these </w:t>
      </w:r>
      <w:r w:rsidR="000F395E" w:rsidRPr="00826BF4">
        <w:t xml:space="preserve">reserves </w:t>
      </w:r>
      <w:r w:rsidR="00CA6029" w:rsidRPr="00826BF4">
        <w:t xml:space="preserve">as a first call should </w:t>
      </w:r>
      <w:r w:rsidRPr="00826BF4">
        <w:t xml:space="preserve">surpluses </w:t>
      </w:r>
      <w:r w:rsidR="00CA6029" w:rsidRPr="00826BF4">
        <w:t xml:space="preserve">in the revenue account become available, </w:t>
      </w:r>
      <w:r w:rsidRPr="00826BF4">
        <w:t xml:space="preserve">to </w:t>
      </w:r>
      <w:r w:rsidR="006F5838" w:rsidRPr="00826BF4">
        <w:t>strengthen its financial position</w:t>
      </w:r>
      <w:r w:rsidR="00CA6029" w:rsidRPr="00826BF4">
        <w:t xml:space="preserve"> when it can</w:t>
      </w:r>
      <w:r w:rsidR="006F5838" w:rsidRPr="00826BF4">
        <w:t>.</w:t>
      </w:r>
    </w:p>
    <w:p w14:paraId="6F1C2311" w14:textId="77777777" w:rsidR="00346115" w:rsidRPr="00826BF4" w:rsidRDefault="00346115" w:rsidP="00E65AA8">
      <w:pPr>
        <w:pStyle w:val="bParagraphtext"/>
        <w:numPr>
          <w:ilvl w:val="0"/>
          <w:numId w:val="12"/>
        </w:numPr>
        <w:tabs>
          <w:tab w:val="clear" w:pos="426"/>
        </w:tabs>
        <w:ind w:left="567" w:hanging="567"/>
      </w:pPr>
      <w:r w:rsidRPr="00826BF4">
        <w:t>Despite the issues highlighted above the Council has undertaken a rigorous process in its budget setting for the Medium Term and more specifically I would conclude that:</w:t>
      </w:r>
    </w:p>
    <w:p w14:paraId="257A233C" w14:textId="77777777" w:rsidR="00346115" w:rsidRPr="00826BF4" w:rsidRDefault="00346115" w:rsidP="00E65AA8">
      <w:pPr>
        <w:pStyle w:val="Bulletpoints"/>
        <w:tabs>
          <w:tab w:val="clear" w:pos="1134"/>
        </w:tabs>
        <w:ind w:left="993" w:hanging="426"/>
      </w:pPr>
      <w:r w:rsidRPr="00826BF4">
        <w:t xml:space="preserve">The process for the formulation of General Fund, HRA and Capital budgets, together with the level of challenge, provides a reasonable assurance of their robustness. </w:t>
      </w:r>
    </w:p>
    <w:p w14:paraId="59A6898A" w14:textId="7A93CA07" w:rsidR="00346115" w:rsidRPr="00826BF4" w:rsidRDefault="00346115" w:rsidP="00E65AA8">
      <w:pPr>
        <w:pStyle w:val="Bulletpoints"/>
        <w:tabs>
          <w:tab w:val="clear" w:pos="1134"/>
        </w:tabs>
        <w:ind w:left="993" w:hanging="426"/>
      </w:pPr>
      <w:r w:rsidRPr="00826BF4">
        <w:t xml:space="preserve">The </w:t>
      </w:r>
      <w:r w:rsidR="0080782B">
        <w:t xml:space="preserve">level of reserves at this stage is adequate and based on current understanding should be sufficient to cover fluctuations in income and expenditure over the medium term. </w:t>
      </w:r>
    </w:p>
    <w:p w14:paraId="65A6DC11" w14:textId="77777777" w:rsidR="000F395E" w:rsidRPr="00F33D54" w:rsidRDefault="000F395E" w:rsidP="00CA6029">
      <w:pPr>
        <w:pStyle w:val="bParagraphtext"/>
        <w:rPr>
          <w:b/>
        </w:rPr>
      </w:pPr>
    </w:p>
    <w:p w14:paraId="7C9059A2" w14:textId="77777777" w:rsidR="00CA6029" w:rsidRPr="00F33D54" w:rsidRDefault="00CA6029" w:rsidP="00CA6029">
      <w:pPr>
        <w:pStyle w:val="bParagraphtext"/>
        <w:rPr>
          <w:b/>
        </w:rPr>
      </w:pPr>
      <w:r w:rsidRPr="00F33D54">
        <w:rPr>
          <w:b/>
        </w:rPr>
        <w:t>Financial Implications</w:t>
      </w:r>
    </w:p>
    <w:p w14:paraId="48CB9636" w14:textId="77777777" w:rsidR="00CA6029" w:rsidRPr="00F33D54" w:rsidRDefault="00CA6029" w:rsidP="002C5ED0">
      <w:pPr>
        <w:pStyle w:val="bParagraphtext"/>
        <w:numPr>
          <w:ilvl w:val="0"/>
          <w:numId w:val="12"/>
        </w:numPr>
        <w:tabs>
          <w:tab w:val="clear" w:pos="426"/>
        </w:tabs>
        <w:ind w:left="567" w:hanging="567"/>
      </w:pPr>
      <w:r w:rsidRPr="00F33D54">
        <w:t xml:space="preserve">These are covered within the </w:t>
      </w:r>
      <w:proofErr w:type="gramStart"/>
      <w:r w:rsidRPr="00F33D54">
        <w:t>report</w:t>
      </w:r>
      <w:proofErr w:type="gramEnd"/>
    </w:p>
    <w:p w14:paraId="454E60EC" w14:textId="77777777" w:rsidR="004F7E55" w:rsidRPr="00F33D54" w:rsidRDefault="004F7E55" w:rsidP="004F7E55">
      <w:pPr>
        <w:pStyle w:val="bParagraphtext"/>
        <w:tabs>
          <w:tab w:val="clear" w:pos="426"/>
        </w:tabs>
        <w:ind w:left="567"/>
      </w:pPr>
    </w:p>
    <w:p w14:paraId="6AE90643" w14:textId="77777777" w:rsidR="00150DF7" w:rsidRPr="00F33D54" w:rsidRDefault="00150DF7" w:rsidP="00706293">
      <w:pPr>
        <w:pStyle w:val="Heading1"/>
      </w:pPr>
      <w:r w:rsidRPr="00F33D54">
        <w:t>Legal Implications</w:t>
      </w:r>
    </w:p>
    <w:p w14:paraId="08A231F4" w14:textId="77777777" w:rsidR="00150DF7" w:rsidRPr="00F33D54" w:rsidRDefault="00150DF7" w:rsidP="002C5ED0">
      <w:pPr>
        <w:pStyle w:val="bParagraphtext"/>
        <w:numPr>
          <w:ilvl w:val="0"/>
          <w:numId w:val="12"/>
        </w:numPr>
        <w:tabs>
          <w:tab w:val="clear" w:pos="426"/>
        </w:tabs>
        <w:ind w:left="567" w:hanging="567"/>
      </w:pPr>
      <w:r w:rsidRPr="00F33D54">
        <w:t xml:space="preserve">In addition to the obligation for the Chief Finance Officer to report under Section 25 of the Local Government Act 2003 set out in the purpose of this report, the provisions of the Local Government Finance Act 1992 set out what the Council has to base its budget calculations </w:t>
      </w:r>
      <w:proofErr w:type="gramStart"/>
      <w:r w:rsidRPr="00F33D54">
        <w:t>upon, and</w:t>
      </w:r>
      <w:proofErr w:type="gramEnd"/>
      <w:r w:rsidRPr="00F33D54">
        <w:t xml:space="preserve"> requires the Council to set a balanced budget having regard to the advice of its chief finance officer (section 151).</w:t>
      </w:r>
    </w:p>
    <w:p w14:paraId="5163099F" w14:textId="77777777" w:rsidR="004F7E55" w:rsidRPr="00F33D54" w:rsidRDefault="004F7E55" w:rsidP="004F7E55">
      <w:pPr>
        <w:pStyle w:val="bParagraphtext"/>
        <w:tabs>
          <w:tab w:val="clear" w:pos="426"/>
        </w:tabs>
        <w:ind w:left="567"/>
      </w:pPr>
    </w:p>
    <w:p w14:paraId="5F750A80" w14:textId="77777777" w:rsidR="00150DF7" w:rsidRPr="00F33D54" w:rsidRDefault="00150DF7" w:rsidP="00706293">
      <w:pPr>
        <w:pStyle w:val="Heading1"/>
      </w:pPr>
      <w:r w:rsidRPr="00F33D54">
        <w:t>Risk Implications</w:t>
      </w:r>
    </w:p>
    <w:p w14:paraId="2820C65D" w14:textId="38E79BFB" w:rsidR="00871A9A" w:rsidRPr="00F33D54" w:rsidRDefault="00150DF7" w:rsidP="002C5ED0">
      <w:pPr>
        <w:pStyle w:val="bParagraphtext"/>
        <w:numPr>
          <w:ilvl w:val="0"/>
          <w:numId w:val="12"/>
        </w:numPr>
        <w:tabs>
          <w:tab w:val="clear" w:pos="426"/>
        </w:tabs>
        <w:ind w:left="567" w:hanging="567"/>
      </w:pPr>
      <w:r w:rsidRPr="00F33D54">
        <w:t>An analysis of ‘Key Risks’ is shown in the main Budget report elsewhere on the agenda</w:t>
      </w:r>
      <w:r w:rsidR="00871A9A" w:rsidRPr="00F33D54">
        <w:t xml:space="preserve">. They are key factors to </w:t>
      </w:r>
      <w:proofErr w:type="gramStart"/>
      <w:r w:rsidR="00871A9A" w:rsidRPr="00F33D54">
        <w:t>take into account</w:t>
      </w:r>
      <w:proofErr w:type="gramEnd"/>
      <w:r w:rsidR="00871A9A" w:rsidRPr="00F33D54">
        <w:t xml:space="preserve"> when determining the level of reserves that the authority should retain</w:t>
      </w:r>
      <w:r w:rsidR="0080782B">
        <w:t>.</w:t>
      </w:r>
    </w:p>
    <w:p w14:paraId="0C66ACEA" w14:textId="77777777" w:rsidR="004F7E55" w:rsidRPr="00F33D54" w:rsidRDefault="00150DF7" w:rsidP="00871A9A">
      <w:pPr>
        <w:pStyle w:val="bParagraphtext"/>
        <w:tabs>
          <w:tab w:val="clear" w:pos="426"/>
        </w:tabs>
        <w:ind w:left="567"/>
      </w:pPr>
      <w:r w:rsidRPr="00F33D54">
        <w:t xml:space="preserve"> </w:t>
      </w:r>
    </w:p>
    <w:p w14:paraId="5A04394A" w14:textId="77777777" w:rsidR="004F7E55" w:rsidRPr="00F33D54" w:rsidRDefault="004F7E55" w:rsidP="004F7E55">
      <w:pPr>
        <w:pStyle w:val="bParagraphtext"/>
        <w:tabs>
          <w:tab w:val="clear" w:pos="426"/>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14456E" w:rsidRPr="00F33D54" w14:paraId="24394AA2" w14:textId="77777777" w:rsidTr="005070E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F16B322" w14:textId="77777777" w:rsidR="0014456E" w:rsidRPr="00F33D54" w:rsidRDefault="0014456E" w:rsidP="005070E3">
            <w:pPr>
              <w:rPr>
                <w:b/>
              </w:rPr>
            </w:pPr>
            <w:r w:rsidRPr="00F33D54">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4E304BB" w14:textId="77777777" w:rsidR="0014456E" w:rsidRPr="00F33D54" w:rsidRDefault="0014456E" w:rsidP="005070E3">
            <w:r w:rsidRPr="00F33D54">
              <w:t>Nigel Kennedy</w:t>
            </w:r>
          </w:p>
        </w:tc>
      </w:tr>
      <w:tr w:rsidR="0014456E" w:rsidRPr="00F33D54" w14:paraId="169255BC" w14:textId="77777777" w:rsidTr="005070E3">
        <w:trPr>
          <w:cantSplit/>
          <w:trHeight w:val="396"/>
        </w:trPr>
        <w:tc>
          <w:tcPr>
            <w:tcW w:w="3969" w:type="dxa"/>
            <w:tcBorders>
              <w:top w:val="single" w:sz="8" w:space="0" w:color="000000"/>
              <w:left w:val="single" w:sz="8" w:space="0" w:color="000000"/>
              <w:bottom w:val="nil"/>
              <w:right w:val="nil"/>
            </w:tcBorders>
            <w:shd w:val="clear" w:color="auto" w:fill="auto"/>
          </w:tcPr>
          <w:p w14:paraId="44F0F461" w14:textId="77777777" w:rsidR="0014456E" w:rsidRPr="00F33D54" w:rsidRDefault="0014456E" w:rsidP="005070E3">
            <w:r w:rsidRPr="00F33D54">
              <w:t>Job title</w:t>
            </w:r>
          </w:p>
        </w:tc>
        <w:tc>
          <w:tcPr>
            <w:tcW w:w="4962" w:type="dxa"/>
            <w:tcBorders>
              <w:top w:val="single" w:sz="8" w:space="0" w:color="000000"/>
              <w:left w:val="nil"/>
              <w:bottom w:val="nil"/>
              <w:right w:val="single" w:sz="8" w:space="0" w:color="000000"/>
            </w:tcBorders>
            <w:shd w:val="clear" w:color="auto" w:fill="auto"/>
          </w:tcPr>
          <w:p w14:paraId="6ADC0AAC" w14:textId="77777777" w:rsidR="0014456E" w:rsidRPr="00F33D54" w:rsidRDefault="0014456E" w:rsidP="005070E3">
            <w:r w:rsidRPr="00F33D54">
              <w:t>Head of Financial Services</w:t>
            </w:r>
          </w:p>
        </w:tc>
      </w:tr>
      <w:tr w:rsidR="0014456E" w:rsidRPr="00F33D54" w14:paraId="4C045785" w14:textId="77777777" w:rsidTr="005070E3">
        <w:trPr>
          <w:cantSplit/>
          <w:trHeight w:val="396"/>
        </w:trPr>
        <w:tc>
          <w:tcPr>
            <w:tcW w:w="3969" w:type="dxa"/>
            <w:tcBorders>
              <w:top w:val="nil"/>
              <w:left w:val="single" w:sz="8" w:space="0" w:color="000000"/>
              <w:bottom w:val="nil"/>
              <w:right w:val="nil"/>
            </w:tcBorders>
            <w:shd w:val="clear" w:color="auto" w:fill="auto"/>
          </w:tcPr>
          <w:p w14:paraId="06EFBA7C" w14:textId="77777777" w:rsidR="0014456E" w:rsidRPr="00F33D54" w:rsidRDefault="0014456E" w:rsidP="005070E3">
            <w:r w:rsidRPr="00F33D54">
              <w:t>Service area or department</w:t>
            </w:r>
          </w:p>
        </w:tc>
        <w:tc>
          <w:tcPr>
            <w:tcW w:w="4962" w:type="dxa"/>
            <w:tcBorders>
              <w:top w:val="nil"/>
              <w:left w:val="nil"/>
              <w:bottom w:val="nil"/>
              <w:right w:val="single" w:sz="8" w:space="0" w:color="000000"/>
            </w:tcBorders>
            <w:shd w:val="clear" w:color="auto" w:fill="auto"/>
          </w:tcPr>
          <w:p w14:paraId="35D1C877" w14:textId="77777777" w:rsidR="0014456E" w:rsidRPr="00F33D54" w:rsidRDefault="0014456E" w:rsidP="005070E3">
            <w:r w:rsidRPr="00F33D54">
              <w:t>Finance</w:t>
            </w:r>
          </w:p>
        </w:tc>
      </w:tr>
      <w:tr w:rsidR="0014456E" w:rsidRPr="00F33D54" w14:paraId="65E8E02B" w14:textId="77777777" w:rsidTr="005070E3">
        <w:trPr>
          <w:cantSplit/>
          <w:trHeight w:val="396"/>
        </w:trPr>
        <w:tc>
          <w:tcPr>
            <w:tcW w:w="3969" w:type="dxa"/>
            <w:tcBorders>
              <w:top w:val="nil"/>
              <w:left w:val="single" w:sz="8" w:space="0" w:color="000000"/>
              <w:bottom w:val="nil"/>
              <w:right w:val="nil"/>
            </w:tcBorders>
            <w:shd w:val="clear" w:color="auto" w:fill="auto"/>
          </w:tcPr>
          <w:p w14:paraId="5D9E5E6F" w14:textId="77777777" w:rsidR="0014456E" w:rsidRPr="00F33D54" w:rsidRDefault="0014456E" w:rsidP="005070E3">
            <w:r w:rsidRPr="00F33D54">
              <w:t xml:space="preserve">Telephone </w:t>
            </w:r>
          </w:p>
        </w:tc>
        <w:tc>
          <w:tcPr>
            <w:tcW w:w="4962" w:type="dxa"/>
            <w:tcBorders>
              <w:top w:val="nil"/>
              <w:left w:val="nil"/>
              <w:bottom w:val="nil"/>
              <w:right w:val="single" w:sz="8" w:space="0" w:color="000000"/>
            </w:tcBorders>
            <w:shd w:val="clear" w:color="auto" w:fill="auto"/>
          </w:tcPr>
          <w:p w14:paraId="1F99AF5A" w14:textId="77777777" w:rsidR="0014456E" w:rsidRPr="00F33D54" w:rsidRDefault="0014456E" w:rsidP="005070E3">
            <w:r w:rsidRPr="00F33D54">
              <w:t xml:space="preserve">01865 252708 </w:t>
            </w:r>
          </w:p>
        </w:tc>
      </w:tr>
      <w:tr w:rsidR="0014456E" w:rsidRPr="00F33D54" w14:paraId="15D4A9EF" w14:textId="77777777" w:rsidTr="005070E3">
        <w:trPr>
          <w:cantSplit/>
          <w:trHeight w:val="396"/>
        </w:trPr>
        <w:tc>
          <w:tcPr>
            <w:tcW w:w="3969" w:type="dxa"/>
            <w:tcBorders>
              <w:top w:val="nil"/>
              <w:left w:val="single" w:sz="8" w:space="0" w:color="000000"/>
              <w:bottom w:val="single" w:sz="8" w:space="0" w:color="000000"/>
              <w:right w:val="nil"/>
            </w:tcBorders>
            <w:shd w:val="clear" w:color="auto" w:fill="auto"/>
          </w:tcPr>
          <w:p w14:paraId="31ECAE9C" w14:textId="77777777" w:rsidR="0014456E" w:rsidRPr="00F33D54" w:rsidRDefault="0014456E" w:rsidP="005070E3">
            <w:r w:rsidRPr="00F33D54">
              <w:t xml:space="preserve">e-mail </w:t>
            </w:r>
          </w:p>
        </w:tc>
        <w:tc>
          <w:tcPr>
            <w:tcW w:w="4962" w:type="dxa"/>
            <w:tcBorders>
              <w:top w:val="nil"/>
              <w:left w:val="nil"/>
              <w:bottom w:val="single" w:sz="8" w:space="0" w:color="000000"/>
              <w:right w:val="single" w:sz="8" w:space="0" w:color="000000"/>
            </w:tcBorders>
            <w:shd w:val="clear" w:color="auto" w:fill="auto"/>
          </w:tcPr>
          <w:p w14:paraId="5FF35A1B" w14:textId="19E53AB4" w:rsidR="00F46186" w:rsidRPr="00F33D54" w:rsidRDefault="00F46186" w:rsidP="00F46186">
            <w:hyperlink r:id="rId10" w:history="1">
              <w:r w:rsidRPr="003C43EA">
                <w:rPr>
                  <w:rStyle w:val="Hyperlink"/>
                </w:rPr>
                <w:t>nkennedy@oxford.gov.uk</w:t>
              </w:r>
            </w:hyperlink>
          </w:p>
        </w:tc>
      </w:tr>
    </w:tbl>
    <w:p w14:paraId="0868DD64" w14:textId="1AD4B6DC" w:rsidR="00150DF7" w:rsidRDefault="00150DF7" w:rsidP="00544682"/>
    <w:sectPr w:rsidR="00150DF7" w:rsidSect="00B90D6D">
      <w:headerReference w:type="default" r:id="rId11"/>
      <w:footerReference w:type="even" r:id="rId12"/>
      <w:footerReference w:type="default" r:id="rId13"/>
      <w:footerReference w:type="first" r:id="rId14"/>
      <w:pgSz w:w="11906" w:h="16838" w:code="9"/>
      <w:pgMar w:top="1276" w:right="1304" w:bottom="1304" w:left="1304"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970B" w14:textId="77777777" w:rsidR="000643EF" w:rsidRDefault="000643EF" w:rsidP="004A6D2F">
      <w:r>
        <w:separator/>
      </w:r>
    </w:p>
  </w:endnote>
  <w:endnote w:type="continuationSeparator" w:id="0">
    <w:p w14:paraId="6F449664" w14:textId="77777777" w:rsidR="000643EF" w:rsidRDefault="000643E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9FCB" w14:textId="77777777" w:rsidR="000643EF" w:rsidRDefault="000643EF" w:rsidP="004A6D2F">
    <w:pPr>
      <w:pStyle w:val="Footer"/>
    </w:pPr>
    <w:r>
      <w:t>Do not use a footer or page numbers.</w:t>
    </w:r>
  </w:p>
  <w:p w14:paraId="555013D3" w14:textId="77777777" w:rsidR="000643EF" w:rsidRDefault="000643EF" w:rsidP="004A6D2F">
    <w:pPr>
      <w:pStyle w:val="Footer"/>
    </w:pPr>
  </w:p>
  <w:p w14:paraId="7C1560C3" w14:textId="77777777" w:rsidR="000643EF" w:rsidRDefault="000643EF"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438759"/>
      <w:docPartObj>
        <w:docPartGallery w:val="Page Numbers (Bottom of Page)"/>
        <w:docPartUnique/>
      </w:docPartObj>
    </w:sdtPr>
    <w:sdtEndPr>
      <w:rPr>
        <w:noProof/>
      </w:rPr>
    </w:sdtEndPr>
    <w:sdtContent>
      <w:p w14:paraId="11CB9506" w14:textId="13D8ACE4" w:rsidR="000643EF" w:rsidRDefault="000643EF">
        <w:pPr>
          <w:pStyle w:val="Footer"/>
          <w:jc w:val="center"/>
        </w:pPr>
        <w:r>
          <w:fldChar w:fldCharType="begin"/>
        </w:r>
        <w:r>
          <w:instrText xml:space="preserve"> PAGE   \* MERGEFORMAT </w:instrText>
        </w:r>
        <w:r>
          <w:fldChar w:fldCharType="separate"/>
        </w:r>
        <w:r w:rsidR="00DF374F">
          <w:rPr>
            <w:noProof/>
          </w:rPr>
          <w:t>12</w:t>
        </w:r>
        <w:r>
          <w:rPr>
            <w:noProof/>
          </w:rPr>
          <w:fldChar w:fldCharType="end"/>
        </w:r>
      </w:p>
    </w:sdtContent>
  </w:sdt>
  <w:p w14:paraId="4A20BC61" w14:textId="77777777" w:rsidR="000643EF" w:rsidRDefault="00064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A644" w14:textId="77777777" w:rsidR="000643EF" w:rsidRDefault="000643EF"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3CBE" w14:textId="77777777" w:rsidR="000643EF" w:rsidRDefault="000643EF" w:rsidP="004A6D2F">
      <w:r>
        <w:separator/>
      </w:r>
    </w:p>
  </w:footnote>
  <w:footnote w:type="continuationSeparator" w:id="0">
    <w:p w14:paraId="39803023" w14:textId="77777777" w:rsidR="000643EF" w:rsidRDefault="000643EF"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2A28" w14:textId="77777777" w:rsidR="000643EF" w:rsidRPr="00D077E6" w:rsidRDefault="000643EF" w:rsidP="00D077E6">
    <w:pPr>
      <w:pStyle w:val="Header"/>
      <w:jc w:val="right"/>
      <w:rPr>
        <w:sz w:val="28"/>
        <w:szCs w:val="28"/>
      </w:rPr>
    </w:pPr>
  </w:p>
  <w:p w14:paraId="369C1EF1" w14:textId="77777777" w:rsidR="000643EF" w:rsidRDefault="000643EF" w:rsidP="00D077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563EDB94"/>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25D2A"/>
    <w:multiLevelType w:val="hybridMultilevel"/>
    <w:tmpl w:val="D66C97E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980FC5"/>
    <w:multiLevelType w:val="hybridMultilevel"/>
    <w:tmpl w:val="C32CF646"/>
    <w:lvl w:ilvl="0" w:tplc="08AA9D2C">
      <w:start w:val="1"/>
      <w:numFmt w:val="bullet"/>
      <w:pStyle w:val="Bulletpoints"/>
      <w:lvlText w:val=""/>
      <w:lvlJc w:val="left"/>
      <w:pPr>
        <w:ind w:left="1080" w:hanging="360"/>
      </w:pPr>
      <w:rPr>
        <w:rFonts w:ascii="Symbol" w:hAnsi="Symbol" w:hint="default"/>
      </w:rPr>
    </w:lvl>
    <w:lvl w:ilvl="1" w:tplc="9C54C732">
      <w:numFmt w:val="bullet"/>
      <w:lvlText w:val="•"/>
      <w:lvlJc w:val="left"/>
      <w:pPr>
        <w:ind w:left="1860" w:hanging="420"/>
      </w:pPr>
      <w:rPr>
        <w:rFonts w:ascii="Arial" w:eastAsia="Times New Roman" w:hAnsi="Arial" w:cs="Arial" w:hint="default"/>
      </w:rPr>
    </w:lvl>
    <w:lvl w:ilvl="2" w:tplc="0809001B">
      <w:start w:val="1"/>
      <w:numFmt w:val="lowerRoman"/>
      <w:lvlText w:val="%3."/>
      <w:lvlJc w:val="right"/>
      <w:pPr>
        <w:ind w:left="2520" w:hanging="180"/>
      </w:pPr>
    </w:lvl>
    <w:lvl w:ilvl="3" w:tplc="28B89A7A">
      <w:start w:val="6"/>
      <w:numFmt w:val="decimal"/>
      <w:lvlText w:val="%4"/>
      <w:lvlJc w:val="left"/>
      <w:pPr>
        <w:ind w:left="502"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B97891"/>
    <w:multiLevelType w:val="hybridMultilevel"/>
    <w:tmpl w:val="3E1647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69F5862"/>
    <w:multiLevelType w:val="hybridMultilevel"/>
    <w:tmpl w:val="F6B642AE"/>
    <w:lvl w:ilvl="0" w:tplc="14AA31A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52083"/>
    <w:multiLevelType w:val="hybridMultilevel"/>
    <w:tmpl w:val="3A3C631C"/>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7" w15:restartNumberingAfterBreak="0">
    <w:nsid w:val="45227DF1"/>
    <w:multiLevelType w:val="hybridMultilevel"/>
    <w:tmpl w:val="D6AAB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09030C"/>
    <w:multiLevelType w:val="hybridMultilevel"/>
    <w:tmpl w:val="D83C36D4"/>
    <w:lvl w:ilvl="0" w:tplc="72E4EFBC">
      <w:start w:val="7"/>
      <w:numFmt w:val="decimal"/>
      <w:lvlText w:val="%1"/>
      <w:lvlJc w:val="left"/>
      <w:pPr>
        <w:ind w:left="32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67ADD"/>
    <w:multiLevelType w:val="hybridMultilevel"/>
    <w:tmpl w:val="20AA5FA8"/>
    <w:lvl w:ilvl="0" w:tplc="08090001">
      <w:start w:val="1"/>
      <w:numFmt w:val="bullet"/>
      <w:lvlText w:val=""/>
      <w:lvlJc w:val="left"/>
      <w:pPr>
        <w:ind w:left="1510" w:hanging="360"/>
      </w:pPr>
      <w:rPr>
        <w:rFonts w:ascii="Symbol" w:hAnsi="Symbol" w:hint="default"/>
      </w:rPr>
    </w:lvl>
    <w:lvl w:ilvl="1" w:tplc="08090003">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0" w15:restartNumberingAfterBreak="0">
    <w:nsid w:val="675450C4"/>
    <w:multiLevelType w:val="hybridMultilevel"/>
    <w:tmpl w:val="90B6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9F2B3C"/>
    <w:multiLevelType w:val="multilevel"/>
    <w:tmpl w:val="6BD0736C"/>
    <w:lvl w:ilvl="0">
      <w:start w:val="1"/>
      <w:numFmt w:val="decimal"/>
      <w:pStyle w:val="c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D16223"/>
    <w:multiLevelType w:val="multilevel"/>
    <w:tmpl w:val="105271CE"/>
    <w:lvl w:ilvl="0">
      <w:start w:val="20"/>
      <w:numFmt w:val="decimal"/>
      <w:lvlText w:val="%1"/>
      <w:lvlJc w:val="left"/>
      <w:pPr>
        <w:ind w:left="360" w:hanging="360"/>
      </w:pPr>
      <w:rPr>
        <w:rFonts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0262099"/>
    <w:multiLevelType w:val="hybridMultilevel"/>
    <w:tmpl w:val="832A8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E57ADB"/>
    <w:multiLevelType w:val="hybridMultilevel"/>
    <w:tmpl w:val="89CE4974"/>
    <w:lvl w:ilvl="0" w:tplc="C19AC8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15" w15:restartNumberingAfterBreak="0">
    <w:nsid w:val="79D6581B"/>
    <w:multiLevelType w:val="multilevel"/>
    <w:tmpl w:val="5684923E"/>
    <w:lvl w:ilvl="0">
      <w:start w:val="15"/>
      <w:numFmt w:val="decimal"/>
      <w:lvlText w:val="%1"/>
      <w:lvlJc w:val="left"/>
      <w:pPr>
        <w:ind w:left="360" w:hanging="360"/>
      </w:pPr>
      <w:rPr>
        <w:rFonts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E514756"/>
    <w:multiLevelType w:val="hybridMultilevel"/>
    <w:tmpl w:val="8BDE6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9492344">
    <w:abstractNumId w:val="12"/>
  </w:num>
  <w:num w:numId="2" w16cid:durableId="904532025">
    <w:abstractNumId w:val="0"/>
  </w:num>
  <w:num w:numId="3" w16cid:durableId="1738094146">
    <w:abstractNumId w:val="3"/>
  </w:num>
  <w:num w:numId="4" w16cid:durableId="764107826">
    <w:abstractNumId w:val="1"/>
  </w:num>
  <w:num w:numId="5" w16cid:durableId="476384272">
    <w:abstractNumId w:val="11"/>
  </w:num>
  <w:num w:numId="6" w16cid:durableId="1173228564">
    <w:abstractNumId w:val="2"/>
  </w:num>
  <w:num w:numId="7" w16cid:durableId="242035960">
    <w:abstractNumId w:val="6"/>
  </w:num>
  <w:num w:numId="8" w16cid:durableId="2036153947">
    <w:abstractNumId w:val="16"/>
  </w:num>
  <w:num w:numId="9" w16cid:durableId="574322972">
    <w:abstractNumId w:val="13"/>
  </w:num>
  <w:num w:numId="10" w16cid:durableId="350643675">
    <w:abstractNumId w:val="8"/>
  </w:num>
  <w:num w:numId="11" w16cid:durableId="694232942">
    <w:abstractNumId w:val="14"/>
  </w:num>
  <w:num w:numId="12" w16cid:durableId="347022347">
    <w:abstractNumId w:val="15"/>
  </w:num>
  <w:num w:numId="13" w16cid:durableId="968785425">
    <w:abstractNumId w:val="4"/>
  </w:num>
  <w:num w:numId="14" w16cid:durableId="813720261">
    <w:abstractNumId w:val="5"/>
  </w:num>
  <w:num w:numId="15" w16cid:durableId="779106425">
    <w:abstractNumId w:val="10"/>
  </w:num>
  <w:num w:numId="16" w16cid:durableId="1780568704">
    <w:abstractNumId w:val="9"/>
  </w:num>
  <w:num w:numId="17" w16cid:durableId="165953011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E2"/>
    <w:rsid w:val="00007C84"/>
    <w:rsid w:val="000117D4"/>
    <w:rsid w:val="000165C5"/>
    <w:rsid w:val="000314D7"/>
    <w:rsid w:val="00034054"/>
    <w:rsid w:val="00045F8B"/>
    <w:rsid w:val="00046D2B"/>
    <w:rsid w:val="00056263"/>
    <w:rsid w:val="000643EF"/>
    <w:rsid w:val="00064D8A"/>
    <w:rsid w:val="00064F82"/>
    <w:rsid w:val="00066510"/>
    <w:rsid w:val="00077523"/>
    <w:rsid w:val="00086E59"/>
    <w:rsid w:val="000977CB"/>
    <w:rsid w:val="00097FC9"/>
    <w:rsid w:val="000A4BC5"/>
    <w:rsid w:val="000B1DFC"/>
    <w:rsid w:val="000C089F"/>
    <w:rsid w:val="000C1C4C"/>
    <w:rsid w:val="000C3928"/>
    <w:rsid w:val="000C5E8E"/>
    <w:rsid w:val="000D5284"/>
    <w:rsid w:val="000F1478"/>
    <w:rsid w:val="000F395E"/>
    <w:rsid w:val="000F4751"/>
    <w:rsid w:val="000F78A9"/>
    <w:rsid w:val="00104892"/>
    <w:rsid w:val="0010524C"/>
    <w:rsid w:val="00111FB1"/>
    <w:rsid w:val="00113418"/>
    <w:rsid w:val="001218A2"/>
    <w:rsid w:val="001356F1"/>
    <w:rsid w:val="00136994"/>
    <w:rsid w:val="0014128E"/>
    <w:rsid w:val="0014456E"/>
    <w:rsid w:val="00150DF7"/>
    <w:rsid w:val="00151888"/>
    <w:rsid w:val="00153412"/>
    <w:rsid w:val="00163877"/>
    <w:rsid w:val="00170A2D"/>
    <w:rsid w:val="00172BA8"/>
    <w:rsid w:val="001808BC"/>
    <w:rsid w:val="00182B81"/>
    <w:rsid w:val="0018619D"/>
    <w:rsid w:val="00192624"/>
    <w:rsid w:val="00192FBD"/>
    <w:rsid w:val="001A011E"/>
    <w:rsid w:val="001A066A"/>
    <w:rsid w:val="001A13E6"/>
    <w:rsid w:val="001A5731"/>
    <w:rsid w:val="001B2BE8"/>
    <w:rsid w:val="001B42C3"/>
    <w:rsid w:val="001B5E59"/>
    <w:rsid w:val="001C534B"/>
    <w:rsid w:val="001C5D5E"/>
    <w:rsid w:val="001D188E"/>
    <w:rsid w:val="001D678D"/>
    <w:rsid w:val="001E03F8"/>
    <w:rsid w:val="001E1678"/>
    <w:rsid w:val="001E3376"/>
    <w:rsid w:val="002069B3"/>
    <w:rsid w:val="00226385"/>
    <w:rsid w:val="002327AF"/>
    <w:rsid w:val="002329CF"/>
    <w:rsid w:val="00232F5B"/>
    <w:rsid w:val="00247C29"/>
    <w:rsid w:val="00260467"/>
    <w:rsid w:val="002630C3"/>
    <w:rsid w:val="00263EA3"/>
    <w:rsid w:val="0027316D"/>
    <w:rsid w:val="00283394"/>
    <w:rsid w:val="00284F85"/>
    <w:rsid w:val="002870C3"/>
    <w:rsid w:val="00290915"/>
    <w:rsid w:val="00294310"/>
    <w:rsid w:val="002A22E2"/>
    <w:rsid w:val="002B6836"/>
    <w:rsid w:val="002C5ED0"/>
    <w:rsid w:val="002C64F7"/>
    <w:rsid w:val="002F41F2"/>
    <w:rsid w:val="00301BF3"/>
    <w:rsid w:val="0030208D"/>
    <w:rsid w:val="00310A44"/>
    <w:rsid w:val="00316F9B"/>
    <w:rsid w:val="00323418"/>
    <w:rsid w:val="00326BCB"/>
    <w:rsid w:val="003357BF"/>
    <w:rsid w:val="00344471"/>
    <w:rsid w:val="00346115"/>
    <w:rsid w:val="00354F6A"/>
    <w:rsid w:val="00357F7E"/>
    <w:rsid w:val="00363480"/>
    <w:rsid w:val="00364FAD"/>
    <w:rsid w:val="0036738F"/>
    <w:rsid w:val="0036759C"/>
    <w:rsid w:val="00367AE5"/>
    <w:rsid w:val="00367D71"/>
    <w:rsid w:val="003808BF"/>
    <w:rsid w:val="0038150A"/>
    <w:rsid w:val="003A5206"/>
    <w:rsid w:val="003B583B"/>
    <w:rsid w:val="003B6E75"/>
    <w:rsid w:val="003B7DA1"/>
    <w:rsid w:val="003D0379"/>
    <w:rsid w:val="003D2574"/>
    <w:rsid w:val="003D4C59"/>
    <w:rsid w:val="003F31C6"/>
    <w:rsid w:val="003F4267"/>
    <w:rsid w:val="00404032"/>
    <w:rsid w:val="0040736F"/>
    <w:rsid w:val="00412C1F"/>
    <w:rsid w:val="00421CB2"/>
    <w:rsid w:val="00421FF0"/>
    <w:rsid w:val="004268B9"/>
    <w:rsid w:val="00426B08"/>
    <w:rsid w:val="004305A1"/>
    <w:rsid w:val="00433B96"/>
    <w:rsid w:val="004440F1"/>
    <w:rsid w:val="004456DD"/>
    <w:rsid w:val="00446CDF"/>
    <w:rsid w:val="004521B7"/>
    <w:rsid w:val="004548E0"/>
    <w:rsid w:val="00462AB5"/>
    <w:rsid w:val="00465EAF"/>
    <w:rsid w:val="004738C5"/>
    <w:rsid w:val="0047737B"/>
    <w:rsid w:val="00491046"/>
    <w:rsid w:val="004A2AC7"/>
    <w:rsid w:val="004A6D2F"/>
    <w:rsid w:val="004B11AE"/>
    <w:rsid w:val="004C2887"/>
    <w:rsid w:val="004C72EB"/>
    <w:rsid w:val="004D2626"/>
    <w:rsid w:val="004D6E26"/>
    <w:rsid w:val="004D77D3"/>
    <w:rsid w:val="004E2959"/>
    <w:rsid w:val="004E430A"/>
    <w:rsid w:val="004F20EF"/>
    <w:rsid w:val="004F7E55"/>
    <w:rsid w:val="0050321C"/>
    <w:rsid w:val="005060AB"/>
    <w:rsid w:val="005070E3"/>
    <w:rsid w:val="00507ECC"/>
    <w:rsid w:val="00525596"/>
    <w:rsid w:val="00531176"/>
    <w:rsid w:val="00544682"/>
    <w:rsid w:val="0054712D"/>
    <w:rsid w:val="00547B77"/>
    <w:rsid w:val="00547EF6"/>
    <w:rsid w:val="005561FB"/>
    <w:rsid w:val="005570B5"/>
    <w:rsid w:val="00561971"/>
    <w:rsid w:val="00567E18"/>
    <w:rsid w:val="00575F5F"/>
    <w:rsid w:val="00581805"/>
    <w:rsid w:val="00582459"/>
    <w:rsid w:val="00585F76"/>
    <w:rsid w:val="005A3124"/>
    <w:rsid w:val="005A34E4"/>
    <w:rsid w:val="005A5959"/>
    <w:rsid w:val="005A6610"/>
    <w:rsid w:val="005B17F2"/>
    <w:rsid w:val="005B4FD6"/>
    <w:rsid w:val="005B7FB0"/>
    <w:rsid w:val="005C35A5"/>
    <w:rsid w:val="005C577C"/>
    <w:rsid w:val="005D0621"/>
    <w:rsid w:val="005D1E27"/>
    <w:rsid w:val="005D1F05"/>
    <w:rsid w:val="005D2A3E"/>
    <w:rsid w:val="005E022E"/>
    <w:rsid w:val="005E297C"/>
    <w:rsid w:val="005E5215"/>
    <w:rsid w:val="005E6DAB"/>
    <w:rsid w:val="005F0F80"/>
    <w:rsid w:val="005F3760"/>
    <w:rsid w:val="005F7F7E"/>
    <w:rsid w:val="00606B73"/>
    <w:rsid w:val="00614693"/>
    <w:rsid w:val="00623C2F"/>
    <w:rsid w:val="00633578"/>
    <w:rsid w:val="00634D39"/>
    <w:rsid w:val="00637068"/>
    <w:rsid w:val="00650811"/>
    <w:rsid w:val="00652654"/>
    <w:rsid w:val="00656B76"/>
    <w:rsid w:val="00661D3E"/>
    <w:rsid w:val="00664A87"/>
    <w:rsid w:val="00676A89"/>
    <w:rsid w:val="00692627"/>
    <w:rsid w:val="00695557"/>
    <w:rsid w:val="00695C70"/>
    <w:rsid w:val="006969E7"/>
    <w:rsid w:val="00697968"/>
    <w:rsid w:val="00697F7F"/>
    <w:rsid w:val="006A3643"/>
    <w:rsid w:val="006B10C2"/>
    <w:rsid w:val="006B55F6"/>
    <w:rsid w:val="006B7C76"/>
    <w:rsid w:val="006C2A29"/>
    <w:rsid w:val="006C64CF"/>
    <w:rsid w:val="006D17B1"/>
    <w:rsid w:val="006D4752"/>
    <w:rsid w:val="006D708A"/>
    <w:rsid w:val="006E14C1"/>
    <w:rsid w:val="006E2E5C"/>
    <w:rsid w:val="006F0292"/>
    <w:rsid w:val="006F27FA"/>
    <w:rsid w:val="006F416B"/>
    <w:rsid w:val="006F519B"/>
    <w:rsid w:val="006F5838"/>
    <w:rsid w:val="00702D7F"/>
    <w:rsid w:val="00706293"/>
    <w:rsid w:val="00713675"/>
    <w:rsid w:val="00715823"/>
    <w:rsid w:val="007179F4"/>
    <w:rsid w:val="00721001"/>
    <w:rsid w:val="007253EF"/>
    <w:rsid w:val="00735FBA"/>
    <w:rsid w:val="00737B93"/>
    <w:rsid w:val="00745BF0"/>
    <w:rsid w:val="00751EA3"/>
    <w:rsid w:val="007615FE"/>
    <w:rsid w:val="0076655C"/>
    <w:rsid w:val="00767B16"/>
    <w:rsid w:val="007718DD"/>
    <w:rsid w:val="007742DC"/>
    <w:rsid w:val="00774E87"/>
    <w:rsid w:val="007774F8"/>
    <w:rsid w:val="00791437"/>
    <w:rsid w:val="007A0DF4"/>
    <w:rsid w:val="007A5EAF"/>
    <w:rsid w:val="007B0C2C"/>
    <w:rsid w:val="007B278E"/>
    <w:rsid w:val="007B5CA2"/>
    <w:rsid w:val="007B754D"/>
    <w:rsid w:val="007C5C23"/>
    <w:rsid w:val="007D5F3C"/>
    <w:rsid w:val="007E2A26"/>
    <w:rsid w:val="007E78E3"/>
    <w:rsid w:val="007F2348"/>
    <w:rsid w:val="007F4757"/>
    <w:rsid w:val="008009BA"/>
    <w:rsid w:val="00803F07"/>
    <w:rsid w:val="0080749A"/>
    <w:rsid w:val="0080782B"/>
    <w:rsid w:val="00821FB8"/>
    <w:rsid w:val="00822ACD"/>
    <w:rsid w:val="00826BF4"/>
    <w:rsid w:val="00830C84"/>
    <w:rsid w:val="0084763E"/>
    <w:rsid w:val="00855C66"/>
    <w:rsid w:val="008568E8"/>
    <w:rsid w:val="00871A9A"/>
    <w:rsid w:val="00871EE4"/>
    <w:rsid w:val="008954DF"/>
    <w:rsid w:val="008A7100"/>
    <w:rsid w:val="008B293F"/>
    <w:rsid w:val="008B38E1"/>
    <w:rsid w:val="008B6E43"/>
    <w:rsid w:val="008B7371"/>
    <w:rsid w:val="008D3DDB"/>
    <w:rsid w:val="008D4F5B"/>
    <w:rsid w:val="008F36CB"/>
    <w:rsid w:val="008F3B04"/>
    <w:rsid w:val="008F573F"/>
    <w:rsid w:val="009034EC"/>
    <w:rsid w:val="0093067A"/>
    <w:rsid w:val="00930B1A"/>
    <w:rsid w:val="00941C60"/>
    <w:rsid w:val="00941FD1"/>
    <w:rsid w:val="00944658"/>
    <w:rsid w:val="00952F58"/>
    <w:rsid w:val="00957F9D"/>
    <w:rsid w:val="009605F5"/>
    <w:rsid w:val="00960886"/>
    <w:rsid w:val="00966D42"/>
    <w:rsid w:val="00971689"/>
    <w:rsid w:val="0097170F"/>
    <w:rsid w:val="00973790"/>
    <w:rsid w:val="00973E90"/>
    <w:rsid w:val="00975B07"/>
    <w:rsid w:val="00980B4A"/>
    <w:rsid w:val="009B3E8A"/>
    <w:rsid w:val="009E3D0A"/>
    <w:rsid w:val="009E51FC"/>
    <w:rsid w:val="009E7BB8"/>
    <w:rsid w:val="009F1D28"/>
    <w:rsid w:val="009F361D"/>
    <w:rsid w:val="009F7618"/>
    <w:rsid w:val="00A04D23"/>
    <w:rsid w:val="00A06766"/>
    <w:rsid w:val="00A06E31"/>
    <w:rsid w:val="00A1061E"/>
    <w:rsid w:val="00A13765"/>
    <w:rsid w:val="00A21B12"/>
    <w:rsid w:val="00A22CDD"/>
    <w:rsid w:val="00A23F80"/>
    <w:rsid w:val="00A36540"/>
    <w:rsid w:val="00A46E98"/>
    <w:rsid w:val="00A6352B"/>
    <w:rsid w:val="00A648E4"/>
    <w:rsid w:val="00A701B5"/>
    <w:rsid w:val="00A714BB"/>
    <w:rsid w:val="00A720DC"/>
    <w:rsid w:val="00A77147"/>
    <w:rsid w:val="00A92D8F"/>
    <w:rsid w:val="00A93441"/>
    <w:rsid w:val="00AB2988"/>
    <w:rsid w:val="00AB5DFB"/>
    <w:rsid w:val="00AB7999"/>
    <w:rsid w:val="00AC7336"/>
    <w:rsid w:val="00AD3292"/>
    <w:rsid w:val="00AE1684"/>
    <w:rsid w:val="00AE2556"/>
    <w:rsid w:val="00AE32C4"/>
    <w:rsid w:val="00AE7AF0"/>
    <w:rsid w:val="00AF3DC8"/>
    <w:rsid w:val="00AF68B6"/>
    <w:rsid w:val="00B15CD0"/>
    <w:rsid w:val="00B500CA"/>
    <w:rsid w:val="00B728A1"/>
    <w:rsid w:val="00B84FC0"/>
    <w:rsid w:val="00B86314"/>
    <w:rsid w:val="00B90D6D"/>
    <w:rsid w:val="00BA1C2E"/>
    <w:rsid w:val="00BA2FA7"/>
    <w:rsid w:val="00BC200B"/>
    <w:rsid w:val="00BC4756"/>
    <w:rsid w:val="00BC5EA3"/>
    <w:rsid w:val="00BC69A4"/>
    <w:rsid w:val="00BE0680"/>
    <w:rsid w:val="00BE305F"/>
    <w:rsid w:val="00BE7BA3"/>
    <w:rsid w:val="00BF19DE"/>
    <w:rsid w:val="00BF5682"/>
    <w:rsid w:val="00BF7B09"/>
    <w:rsid w:val="00C05260"/>
    <w:rsid w:val="00C076B9"/>
    <w:rsid w:val="00C20A95"/>
    <w:rsid w:val="00C2692F"/>
    <w:rsid w:val="00C27F94"/>
    <w:rsid w:val="00C31E52"/>
    <w:rsid w:val="00C3207C"/>
    <w:rsid w:val="00C400E1"/>
    <w:rsid w:val="00C41187"/>
    <w:rsid w:val="00C63C31"/>
    <w:rsid w:val="00C757A0"/>
    <w:rsid w:val="00C760DE"/>
    <w:rsid w:val="00C80B48"/>
    <w:rsid w:val="00C82630"/>
    <w:rsid w:val="00C85B4E"/>
    <w:rsid w:val="00C90770"/>
    <w:rsid w:val="00C907F7"/>
    <w:rsid w:val="00C914DF"/>
    <w:rsid w:val="00CA18C1"/>
    <w:rsid w:val="00CA2103"/>
    <w:rsid w:val="00CA6029"/>
    <w:rsid w:val="00CB21E8"/>
    <w:rsid w:val="00CB2D6E"/>
    <w:rsid w:val="00CB6B99"/>
    <w:rsid w:val="00CB7331"/>
    <w:rsid w:val="00CC7BA7"/>
    <w:rsid w:val="00CD199C"/>
    <w:rsid w:val="00CE4C87"/>
    <w:rsid w:val="00CE544A"/>
    <w:rsid w:val="00D073FF"/>
    <w:rsid w:val="00D077E6"/>
    <w:rsid w:val="00D11E1C"/>
    <w:rsid w:val="00D160B0"/>
    <w:rsid w:val="00D16F0A"/>
    <w:rsid w:val="00D17F94"/>
    <w:rsid w:val="00D223FC"/>
    <w:rsid w:val="00D26D1E"/>
    <w:rsid w:val="00D43B9F"/>
    <w:rsid w:val="00D474CF"/>
    <w:rsid w:val="00D51B2A"/>
    <w:rsid w:val="00D5547E"/>
    <w:rsid w:val="00D624F7"/>
    <w:rsid w:val="00D7393B"/>
    <w:rsid w:val="00D860E2"/>
    <w:rsid w:val="00D869A1"/>
    <w:rsid w:val="00D927A0"/>
    <w:rsid w:val="00DA413F"/>
    <w:rsid w:val="00DA4584"/>
    <w:rsid w:val="00DA614B"/>
    <w:rsid w:val="00DB7AD7"/>
    <w:rsid w:val="00DC3060"/>
    <w:rsid w:val="00DD6492"/>
    <w:rsid w:val="00DE0FB2"/>
    <w:rsid w:val="00DE6A6E"/>
    <w:rsid w:val="00DF04D8"/>
    <w:rsid w:val="00DF093E"/>
    <w:rsid w:val="00DF374F"/>
    <w:rsid w:val="00E01F42"/>
    <w:rsid w:val="00E074A6"/>
    <w:rsid w:val="00E206D6"/>
    <w:rsid w:val="00E3366E"/>
    <w:rsid w:val="00E44212"/>
    <w:rsid w:val="00E4501F"/>
    <w:rsid w:val="00E52086"/>
    <w:rsid w:val="00E529D5"/>
    <w:rsid w:val="00E543A6"/>
    <w:rsid w:val="00E60479"/>
    <w:rsid w:val="00E61D73"/>
    <w:rsid w:val="00E65AA8"/>
    <w:rsid w:val="00E73684"/>
    <w:rsid w:val="00E818D6"/>
    <w:rsid w:val="00E87F7A"/>
    <w:rsid w:val="00E92D68"/>
    <w:rsid w:val="00E94B3E"/>
    <w:rsid w:val="00E96BD7"/>
    <w:rsid w:val="00EA0DB1"/>
    <w:rsid w:val="00EA0EE9"/>
    <w:rsid w:val="00EA150C"/>
    <w:rsid w:val="00EA4B85"/>
    <w:rsid w:val="00EB1E4B"/>
    <w:rsid w:val="00ED52CA"/>
    <w:rsid w:val="00ED5860"/>
    <w:rsid w:val="00ED6AD1"/>
    <w:rsid w:val="00EE35C9"/>
    <w:rsid w:val="00EF1F46"/>
    <w:rsid w:val="00EF7E8D"/>
    <w:rsid w:val="00F0450B"/>
    <w:rsid w:val="00F05ECA"/>
    <w:rsid w:val="00F212BD"/>
    <w:rsid w:val="00F26E21"/>
    <w:rsid w:val="00F33D54"/>
    <w:rsid w:val="00F3566E"/>
    <w:rsid w:val="00F375FB"/>
    <w:rsid w:val="00F4129A"/>
    <w:rsid w:val="00F41AC1"/>
    <w:rsid w:val="00F4367A"/>
    <w:rsid w:val="00F445B1"/>
    <w:rsid w:val="00F45CD4"/>
    <w:rsid w:val="00F46186"/>
    <w:rsid w:val="00F64BE6"/>
    <w:rsid w:val="00F6519D"/>
    <w:rsid w:val="00F66DCA"/>
    <w:rsid w:val="00F7484A"/>
    <w:rsid w:val="00F74F53"/>
    <w:rsid w:val="00F7606D"/>
    <w:rsid w:val="00F80592"/>
    <w:rsid w:val="00F81670"/>
    <w:rsid w:val="00F82024"/>
    <w:rsid w:val="00F865A3"/>
    <w:rsid w:val="00F877A2"/>
    <w:rsid w:val="00F95BC9"/>
    <w:rsid w:val="00FA624C"/>
    <w:rsid w:val="00FB1ADE"/>
    <w:rsid w:val="00FC4048"/>
    <w:rsid w:val="00FD0FAC"/>
    <w:rsid w:val="00FD1DFA"/>
    <w:rsid w:val="00FD4966"/>
    <w:rsid w:val="00FD575A"/>
    <w:rsid w:val="00FE57DC"/>
    <w:rsid w:val="00FF095A"/>
    <w:rsid w:val="00FF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8D30634"/>
  <w15:docId w15:val="{412D4AEE-70B6-478E-B167-2CDE8F63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E87"/>
    <w:pPr>
      <w:spacing w:after="120"/>
    </w:pPr>
    <w:rPr>
      <w:color w:val="000000"/>
      <w:sz w:val="24"/>
      <w:szCs w:val="24"/>
    </w:rPr>
  </w:style>
  <w:style w:type="paragraph" w:styleId="Heading1">
    <w:name w:val="heading 1"/>
    <w:aliases w:val="aSectionHeader"/>
    <w:basedOn w:val="Normal"/>
    <w:next w:val="Normal"/>
    <w:link w:val="Heading1Char"/>
    <w:qFormat/>
    <w:rsid w:val="000165C5"/>
    <w:pPr>
      <w:ind w:left="709" w:hanging="709"/>
      <w:outlineLvl w:val="0"/>
    </w:pPr>
    <w:rPr>
      <w:rFonts w:ascii="Arial Bold" w:hAnsi="Arial Bold"/>
      <w:b/>
      <w:color w:val="000000" w:themeColor="text1"/>
      <w:szCs w:val="28"/>
      <w:lang w:eastAsia="en-US"/>
    </w:rPr>
  </w:style>
  <w:style w:type="paragraph" w:styleId="Heading2">
    <w:name w:val="heading 2"/>
    <w:aliases w:val="IntroHeader"/>
    <w:basedOn w:val="Normal"/>
    <w:next w:val="Normal"/>
    <w:qFormat/>
    <w:rsid w:val="00172BA8"/>
    <w:pPr>
      <w:tabs>
        <w:tab w:val="left" w:pos="1701"/>
        <w:tab w:val="left" w:pos="4536"/>
        <w:tab w:val="left" w:pos="5670"/>
      </w:tabs>
      <w:spacing w:before="120"/>
      <w:ind w:left="1701" w:hanging="1701"/>
      <w:outlineLvl w:val="1"/>
    </w:pPr>
    <w:rPr>
      <w:rFonts w:ascii="Arial Bold" w:hAnsi="Arial Bold" w:cs="Arial"/>
      <w:b/>
      <w:bCs/>
      <w:color w:val="000000" w:themeColor="text1"/>
      <w:kern w:val="32"/>
      <w:sz w:val="28"/>
      <w:lang w:eastAsia="en-US"/>
    </w:rPr>
  </w:style>
  <w:style w:type="paragraph" w:styleId="Heading3">
    <w:name w:val="heading 3"/>
    <w:basedOn w:val="Normal"/>
    <w:next w:val="Normal"/>
    <w:link w:val="Heading3Char"/>
    <w:rsid w:val="00656B76"/>
    <w:pPr>
      <w:tabs>
        <w:tab w:val="left" w:pos="567"/>
      </w:tabs>
      <w:outlineLvl w:val="2"/>
    </w:pPr>
  </w:style>
  <w:style w:type="paragraph" w:styleId="Heading4">
    <w:name w:val="heading 4"/>
    <w:basedOn w:val="Normal"/>
    <w:next w:val="Normal"/>
    <w:link w:val="Heading4Char"/>
    <w:rsid w:val="00172BA8"/>
    <w:pPr>
      <w:tabs>
        <w:tab w:val="left" w:pos="2268"/>
      </w:tabs>
      <w:ind w:left="2268" w:hanging="226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val="0"/>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14456E"/>
    <w:pPr>
      <w:numPr>
        <w:numId w:val="3"/>
      </w:numPr>
      <w:tabs>
        <w:tab w:val="left" w:pos="1134"/>
      </w:tabs>
      <w:ind w:left="1134" w:hanging="414"/>
    </w:pPr>
  </w:style>
  <w:style w:type="paragraph" w:styleId="Quote">
    <w:name w:val="Quote"/>
    <w:basedOn w:val="Normal"/>
    <w:next w:val="Normal"/>
    <w:link w:val="QuoteChar"/>
    <w:uiPriority w:val="29"/>
    <w:rsid w:val="004A6D2F"/>
    <w:rPr>
      <w:i/>
      <w:iCs/>
    </w:rPr>
  </w:style>
  <w:style w:type="character" w:customStyle="1" w:styleId="BulletpointsChar">
    <w:name w:val="Bullet points Char"/>
    <w:link w:val="Bulletpoints"/>
    <w:rsid w:val="0014456E"/>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Heading3Char">
    <w:name w:val="Heading 3 Char"/>
    <w:basedOn w:val="DefaultParagraphFont"/>
    <w:link w:val="Heading3"/>
    <w:rsid w:val="000977CB"/>
    <w:rPr>
      <w:color w:val="000000"/>
      <w:sz w:val="24"/>
      <w:szCs w:val="24"/>
    </w:rPr>
  </w:style>
  <w:style w:type="paragraph" w:customStyle="1" w:styleId="bParagraphtext">
    <w:name w:val="bParagraph text"/>
    <w:basedOn w:val="ListParagraph"/>
    <w:link w:val="bParagraphtextChar"/>
    <w:qFormat/>
    <w:rsid w:val="004268B9"/>
  </w:style>
  <w:style w:type="paragraph" w:styleId="Caption">
    <w:name w:val="caption"/>
    <w:aliases w:val="FigCaption"/>
    <w:basedOn w:val="Normal"/>
    <w:next w:val="Normal"/>
    <w:unhideWhenUsed/>
    <w:qFormat/>
    <w:rsid w:val="00656B76"/>
    <w:pPr>
      <w:spacing w:before="120"/>
      <w:jc w:val="center"/>
    </w:pPr>
    <w:rPr>
      <w:b/>
      <w:bCs/>
      <w:szCs w:val="20"/>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cNumberedlist">
    <w:name w:val="cNumbered list"/>
    <w:basedOn w:val="Bulletpoints"/>
    <w:link w:val="cNumberedlistChar"/>
    <w:qFormat/>
    <w:rsid w:val="004738C5"/>
    <w:pPr>
      <w:numPr>
        <w:numId w:val="5"/>
      </w:numPr>
      <w:ind w:left="993" w:hanging="426"/>
    </w:pPr>
  </w:style>
  <w:style w:type="character" w:customStyle="1" w:styleId="Heading1Char">
    <w:name w:val="Heading 1 Char"/>
    <w:aliases w:val="aSectionHeader Char"/>
    <w:link w:val="Heading1"/>
    <w:rsid w:val="000165C5"/>
    <w:rPr>
      <w:rFonts w:ascii="Arial Bold" w:hAnsi="Arial Bold"/>
      <w:b/>
      <w:color w:val="000000" w:themeColor="text1"/>
      <w:sz w:val="24"/>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cNumberedlistChar">
    <w:name w:val="cNumbered list Char"/>
    <w:link w:val="c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aliases w:val="QuoteEmphasis"/>
    <w:basedOn w:val="DefaultParagraphFont"/>
    <w:qFormat/>
    <w:rsid w:val="00D51B2A"/>
    <w:rPr>
      <w:i/>
      <w:iCs/>
    </w:rPr>
  </w:style>
  <w:style w:type="character" w:customStyle="1" w:styleId="Heading4Char">
    <w:name w:val="Heading 4 Char"/>
    <w:basedOn w:val="DefaultParagraphFont"/>
    <w:link w:val="Heading4"/>
    <w:rsid w:val="00172BA8"/>
    <w:rPr>
      <w:b/>
      <w:color w:val="000000"/>
      <w:sz w:val="24"/>
      <w:szCs w:val="24"/>
    </w:rPr>
  </w:style>
  <w:style w:type="paragraph" w:customStyle="1" w:styleId="IntroTxt">
    <w:name w:val="IntroTxt"/>
    <w:basedOn w:val="Normal"/>
    <w:qFormat/>
    <w:rsid w:val="008009BA"/>
    <w:pPr>
      <w:tabs>
        <w:tab w:val="left" w:pos="2268"/>
      </w:tabs>
      <w:ind w:left="2268" w:hanging="2268"/>
    </w:pPr>
    <w:rPr>
      <w:b/>
    </w:rPr>
  </w:style>
  <w:style w:type="paragraph" w:customStyle="1" w:styleId="IntroRecTxt">
    <w:name w:val="IntroRecTxt"/>
    <w:basedOn w:val="cNumberedlist"/>
    <w:qFormat/>
    <w:rsid w:val="008009BA"/>
    <w:pPr>
      <w:tabs>
        <w:tab w:val="left" w:pos="567"/>
      </w:tabs>
      <w:ind w:left="567" w:hanging="567"/>
    </w:pPr>
  </w:style>
  <w:style w:type="character" w:customStyle="1" w:styleId="Firstpagetablebold">
    <w:name w:val="First page table: bold"/>
    <w:qFormat/>
    <w:rsid w:val="00BC5EA3"/>
    <w:rPr>
      <w:rFonts w:ascii="Arial" w:hAnsi="Arial"/>
      <w:b/>
      <w:sz w:val="24"/>
    </w:rPr>
  </w:style>
  <w:style w:type="table" w:customStyle="1" w:styleId="TableGrid1">
    <w:name w:val="Table Grid1"/>
    <w:basedOn w:val="TableNormal"/>
    <w:next w:val="TableGrid"/>
    <w:rsid w:val="00A6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368">
      <w:bodyDiv w:val="1"/>
      <w:marLeft w:val="0"/>
      <w:marRight w:val="0"/>
      <w:marTop w:val="0"/>
      <w:marBottom w:val="0"/>
      <w:divBdr>
        <w:top w:val="none" w:sz="0" w:space="0" w:color="auto"/>
        <w:left w:val="none" w:sz="0" w:space="0" w:color="auto"/>
        <w:bottom w:val="none" w:sz="0" w:space="0" w:color="auto"/>
        <w:right w:val="none" w:sz="0" w:space="0" w:color="auto"/>
      </w:divBdr>
    </w:div>
    <w:div w:id="16497889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911413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861464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1663573">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8001353">
      <w:bodyDiv w:val="1"/>
      <w:marLeft w:val="0"/>
      <w:marRight w:val="0"/>
      <w:marTop w:val="0"/>
      <w:marBottom w:val="0"/>
      <w:divBdr>
        <w:top w:val="none" w:sz="0" w:space="0" w:color="auto"/>
        <w:left w:val="none" w:sz="0" w:space="0" w:color="auto"/>
        <w:bottom w:val="none" w:sz="0" w:space="0" w:color="auto"/>
        <w:right w:val="none" w:sz="0" w:space="0" w:color="auto"/>
      </w:divBdr>
    </w:div>
    <w:div w:id="1820229417">
      <w:bodyDiv w:val="1"/>
      <w:marLeft w:val="0"/>
      <w:marRight w:val="0"/>
      <w:marTop w:val="0"/>
      <w:marBottom w:val="0"/>
      <w:divBdr>
        <w:top w:val="none" w:sz="0" w:space="0" w:color="auto"/>
        <w:left w:val="none" w:sz="0" w:space="0" w:color="auto"/>
        <w:bottom w:val="none" w:sz="0" w:space="0" w:color="auto"/>
        <w:right w:val="none" w:sz="0" w:space="0" w:color="auto"/>
      </w:divBdr>
    </w:div>
    <w:div w:id="21003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kennedy@oxfor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E94C-DA90-40EA-97DB-2CE5A061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3512</Words>
  <Characters>18687</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Oxford City Council officer</dc:creator>
  <cp:keywords>OxCityCouncil Report</cp:keywords>
  <cp:lastModifiedBy>MALTON Jonathan</cp:lastModifiedBy>
  <cp:revision>2</cp:revision>
  <cp:lastPrinted>2015-07-03T13:50:00Z</cp:lastPrinted>
  <dcterms:created xsi:type="dcterms:W3CDTF">2024-02-13T17:55:00Z</dcterms:created>
  <dcterms:modified xsi:type="dcterms:W3CDTF">2024-02-13T17:55:00Z</dcterms:modified>
  <cp:category>Report to Council or Committee</cp:category>
</cp:coreProperties>
</file>